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February 27, 2026</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DORCHESTER MINERALS, L.P.</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Delaware</w:t>
            </w:r>
          </w:p>
        </w:tc>
        <w:tc>
          <w:tcPr>
            <w:tcW w:w="4040" w:type="dxa"/>
            <w:vAlign w:val="bottom"/>
            <w:gridSpan w:val="6"/>
          </w:tcPr>
          <w:p>
            <w:pPr>
              <w:jc w:val="center"/>
              <w:ind w:left="1130"/>
              <w:spacing w:after="0"/>
              <w:rPr>
                <w:sz w:val="20"/>
                <w:szCs w:val="20"/>
                <w:color w:val="auto"/>
              </w:rPr>
            </w:pPr>
            <w:r>
              <w:rPr>
                <w:rFonts w:ascii="Times New Roman" w:cs="Times New Roman" w:eastAsia="Times New Roman" w:hAnsi="Times New Roman"/>
                <w:sz w:val="18"/>
                <w:szCs w:val="18"/>
                <w:color w:val="auto"/>
                <w:w w:val="99"/>
              </w:rPr>
              <w:t>000-50175</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81-0551518</w:t>
            </w:r>
          </w:p>
        </w:tc>
      </w:tr>
      <w:tr>
        <w:trPr>
          <w:trHeight w:val="191"/>
        </w:trPr>
        <w:tc>
          <w:tcPr>
            <w:tcW w:w="3000" w:type="dxa"/>
            <w:vAlign w:val="bottom"/>
            <w:tcBorders>
              <w:top w:val="single" w:sz="8" w:color="auto"/>
            </w:tcBorders>
          </w:tcPr>
          <w:p>
            <w:pPr>
              <w:jc w:val="center"/>
              <w:ind w:left="53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6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gridSpan w:val="5"/>
          </w:tcPr>
          <w:p>
            <w:pPr>
              <w:jc w:val="center"/>
              <w:ind w:right="4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jc w:val="center"/>
              <w:ind w:right="69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incorporation)</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8"/>
          </w:tcPr>
          <w:p>
            <w:pPr>
              <w:jc w:val="center"/>
              <w:ind w:right="1040"/>
              <w:spacing w:after="0"/>
              <w:rPr>
                <w:sz w:val="20"/>
                <w:szCs w:val="20"/>
                <w:color w:val="auto"/>
              </w:rPr>
            </w:pPr>
            <w:r>
              <w:rPr>
                <w:rFonts w:ascii="Times New Roman" w:cs="Times New Roman" w:eastAsia="Times New Roman" w:hAnsi="Times New Roman"/>
                <w:sz w:val="18"/>
                <w:szCs w:val="18"/>
                <w:color w:val="auto"/>
                <w:w w:val="98"/>
              </w:rPr>
              <w:t>File Number)</w:t>
            </w:r>
          </w:p>
        </w:tc>
        <w:tc>
          <w:tcPr>
            <w:tcW w:w="28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08"/>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8"/>
          </w:tcPr>
          <w:p>
            <w:pPr>
              <w:jc w:val="center"/>
              <w:ind w:right="1080"/>
              <w:spacing w:after="0"/>
              <w:rPr>
                <w:sz w:val="20"/>
                <w:szCs w:val="20"/>
                <w:color w:val="auto"/>
              </w:rPr>
            </w:pPr>
            <w:r>
              <w:rPr>
                <w:rFonts w:ascii="Times New Roman" w:cs="Times New Roman" w:eastAsia="Times New Roman" w:hAnsi="Times New Roman"/>
                <w:sz w:val="18"/>
                <w:szCs w:val="18"/>
                <w:color w:val="auto"/>
                <w:w w:val="99"/>
              </w:rPr>
              <w:t>3838 Oak Lawn, Suite 300, Dallas, Texas 75219</w:t>
            </w:r>
          </w:p>
        </w:tc>
        <w:tc>
          <w:tcPr>
            <w:tcW w:w="2800" w:type="dxa"/>
            <w:vAlign w:val="bottom"/>
          </w:tcPr>
          <w:p>
            <w:pPr>
              <w:spacing w:after="0"/>
              <w:rPr>
                <w:sz w:val="24"/>
                <w:szCs w:val="24"/>
                <w:color w:val="auto"/>
              </w:rPr>
            </w:pPr>
          </w:p>
        </w:tc>
      </w:tr>
      <w:tr>
        <w:trPr>
          <w:trHeight w:val="20"/>
        </w:trPr>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37"/>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20" w:type="dxa"/>
            <w:vAlign w:val="bottom"/>
            <w:gridSpan w:val="10"/>
          </w:tcPr>
          <w:p>
            <w:pPr>
              <w:jc w:val="center"/>
              <w:ind w:right="8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800" w:type="dxa"/>
            <w:vAlign w:val="bottom"/>
          </w:tcPr>
          <w:p>
            <w:pPr>
              <w:spacing w:after="0"/>
              <w:rPr>
                <w:sz w:val="20"/>
                <w:szCs w:val="20"/>
                <w:color w:val="auto"/>
              </w:rPr>
            </w:pPr>
          </w:p>
        </w:tc>
      </w:tr>
      <w:tr>
        <w:trPr>
          <w:trHeight w:val="392"/>
        </w:trPr>
        <w:tc>
          <w:tcPr>
            <w:tcW w:w="3000" w:type="dxa"/>
            <w:vAlign w:val="bottom"/>
          </w:tcPr>
          <w:p>
            <w:pPr>
              <w:spacing w:after="0"/>
              <w:rPr>
                <w:sz w:val="24"/>
                <w:szCs w:val="24"/>
                <w:color w:val="auto"/>
              </w:rPr>
            </w:pPr>
          </w:p>
        </w:tc>
        <w:tc>
          <w:tcPr>
            <w:tcW w:w="5440" w:type="dxa"/>
            <w:vAlign w:val="bottom"/>
            <w:gridSpan w:val="11"/>
          </w:tcPr>
          <w:p>
            <w:pPr>
              <w:jc w:val="center"/>
              <w:ind w:right="200"/>
              <w:spacing w:after="0"/>
              <w:rPr>
                <w:sz w:val="20"/>
                <w:szCs w:val="20"/>
                <w:color w:val="auto"/>
              </w:rPr>
            </w:pPr>
            <w:r>
              <w:rPr>
                <w:rFonts w:ascii="Times New Roman" w:cs="Times New Roman" w:eastAsia="Times New Roman" w:hAnsi="Times New Roman"/>
                <w:sz w:val="18"/>
                <w:szCs w:val="18"/>
                <w:color w:val="auto"/>
              </w:rPr>
              <w:t>Registrant’s telephone number, including area code: (214) 559-0300</w:t>
            </w:r>
          </w:p>
        </w:tc>
        <w:tc>
          <w:tcPr>
            <w:tcW w:w="2800" w:type="dxa"/>
            <w:vAlign w:val="bottom"/>
          </w:tcPr>
          <w:p>
            <w:pPr>
              <w:spacing w:after="0"/>
              <w:rPr>
                <w:sz w:val="24"/>
                <w:szCs w:val="24"/>
                <w:color w:val="auto"/>
              </w:rPr>
            </w:pPr>
          </w:p>
        </w:tc>
      </w:tr>
      <w:tr>
        <w:trPr>
          <w:trHeight w:val="412"/>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tcPr>
          <w:p>
            <w:pPr>
              <w:spacing w:after="0"/>
              <w:rPr>
                <w:sz w:val="24"/>
                <w:szCs w:val="24"/>
                <w:color w:val="auto"/>
              </w:rPr>
            </w:pPr>
          </w:p>
        </w:tc>
        <w:tc>
          <w:tcPr>
            <w:tcW w:w="1060" w:type="dxa"/>
            <w:vAlign w:val="bottom"/>
            <w:tcBorders>
              <w:top w:val="single" w:sz="8" w:color="auto"/>
            </w:tcBorders>
            <w:gridSpan w:val="4"/>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7"/>
        </w:trPr>
        <w:tc>
          <w:tcPr>
            <w:tcW w:w="3000" w:type="dxa"/>
            <w:vAlign w:val="bottom"/>
          </w:tcPr>
          <w:p>
            <w:pPr>
              <w:spacing w:after="0"/>
              <w:rPr>
                <w:sz w:val="20"/>
                <w:szCs w:val="20"/>
                <w:color w:val="auto"/>
              </w:rPr>
            </w:pPr>
          </w:p>
        </w:tc>
        <w:tc>
          <w:tcPr>
            <w:tcW w:w="5440" w:type="dxa"/>
            <w:vAlign w:val="bottom"/>
            <w:gridSpan w:val="11"/>
          </w:tcPr>
          <w:p>
            <w:pPr>
              <w:jc w:val="center"/>
              <w:ind w:right="2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80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0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Units Representing Limited Partnership</w:t>
            </w:r>
          </w:p>
        </w:tc>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w:t>
            </w:r>
          </w:p>
        </w:tc>
        <w:tc>
          <w:tcPr>
            <w:tcW w:w="1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DMLP</w:t>
            </w: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8340"/>
        <w:spacing w:after="0" w:line="207" w:lineRule="exact"/>
        <w:tabs>
          <w:tab w:leader="none" w:pos="107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left="1140"/>
        <w:spacing w:after="0" w:line="254" w:lineRule="auto"/>
        <w:rPr>
          <w:sz w:val="20"/>
          <w:szCs w:val="20"/>
          <w:color w:val="auto"/>
        </w:rPr>
      </w:pPr>
      <w:r>
        <w:rPr>
          <w:rFonts w:ascii="Times New Roman" w:cs="Times New Roman" w:eastAsia="Times New Roman" w:hAnsi="Times New Roman"/>
          <w:sz w:val="18"/>
          <w:szCs w:val="18"/>
          <w:color w:val="auto"/>
        </w:rPr>
        <w:t>As previously reported, C.W. (“Bill”) Russell, an independent manager on the board of managers (the “Board”) and member of the Advisory Committee of Dorchester Minerals Management GP LLC (the “General Partner”), the general partner of the general partner of Dorchester Minerals, L.P. (the “Partnership”), passed away on October 30, 2025. Following Mr. Russell’s passing, the number of members of the Advisory Committee, which also serves as the audit committee of the General Partner, was reduced from three to two resulting in non-compliance with NASDAQ Stock Market LLC (“Nasdaq”) Listing Rules 5615(a)(4)(C) and 5605(c)(2)(A), which require an audit committee to consist of at least three members, each of whom is independent. The Partnership notified Nasdaq of Mr. Russell’s passing and resulting non-compliance on November 3, 2025. On November 10, 2025, the Partnership received a letter from Nasdaq acknowledging the Partnership’s non-compliance with Nasdaq Listing Rules 5615(a)(4)(C) and 5605(c)(2)(A) and provided a cure period for the non-compliance.</w:t>
      </w:r>
    </w:p>
    <w:p>
      <w:pPr>
        <w:spacing w:after="0" w:line="188" w:lineRule="exact"/>
        <w:rPr>
          <w:sz w:val="20"/>
          <w:szCs w:val="20"/>
          <w:color w:val="auto"/>
        </w:rPr>
      </w:pPr>
    </w:p>
    <w:p>
      <w:pPr>
        <w:jc w:val="both"/>
        <w:ind w:left="1140" w:right="20"/>
        <w:spacing w:after="0" w:line="266" w:lineRule="auto"/>
        <w:rPr>
          <w:sz w:val="20"/>
          <w:szCs w:val="20"/>
          <w:color w:val="auto"/>
        </w:rPr>
      </w:pPr>
      <w:r>
        <w:rPr>
          <w:rFonts w:ascii="Times New Roman" w:cs="Times New Roman" w:eastAsia="Times New Roman" w:hAnsi="Times New Roman"/>
          <w:sz w:val="18"/>
          <w:szCs w:val="18"/>
          <w:color w:val="auto"/>
        </w:rPr>
        <w:t>On February 11, 2026, A. Troy Sturrock was appointed to the Board and the Advisory Committee. On February 27, 2026, the Partnership received a letter from Nasdaq which acknowledged the appointment of Mr. Sturrock and stated the Partnership is now compliant with Listing Rule 5615(a)(4)(C) and 5605(c)(2)(A), and the matter is now closed.</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800" w:hanging="658"/>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00" w:lineRule="exact"/>
        <w:rPr>
          <w:sz w:val="20"/>
          <w:szCs w:val="20"/>
          <w:color w:val="auto"/>
        </w:rPr>
      </w:pPr>
    </w:p>
    <w:p>
      <w:pPr>
        <w:spacing w:after="0" w:line="268" w:lineRule="exact"/>
        <w:rPr>
          <w:sz w:val="20"/>
          <w:szCs w:val="20"/>
          <w:color w:val="auto"/>
        </w:rPr>
      </w:pPr>
    </w:p>
    <w:p>
      <w:pPr>
        <w:ind w:left="1140"/>
        <w:spacing w:after="0"/>
        <w:tabs>
          <w:tab w:leader="none" w:pos="24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DORCHESTER MINERALS, L.P.</w:t>
            </w:r>
          </w:p>
        </w:tc>
        <w:tc>
          <w:tcPr>
            <w:tcW w:w="1240" w:type="dxa"/>
            <w:vAlign w:val="bottom"/>
          </w:tcPr>
          <w:p>
            <w:pPr>
              <w:spacing w:after="0"/>
              <w:rPr>
                <w:sz w:val="17"/>
                <w:szCs w:val="17"/>
                <w:color w:val="auto"/>
              </w:rPr>
            </w:pPr>
          </w:p>
        </w:tc>
      </w:tr>
      <w:tr>
        <w:trPr>
          <w:trHeight w:val="88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2026</w:t>
            </w:r>
          </w:p>
        </w:tc>
        <w:tc>
          <w:tcPr>
            <w:tcW w:w="6140" w:type="dxa"/>
            <w:vAlign w:val="bottom"/>
            <w:gridSpan w:val="4"/>
          </w:tcPr>
          <w:p>
            <w:pPr>
              <w:jc w:val="right"/>
              <w:ind w:right="2020"/>
              <w:spacing w:after="0"/>
              <w:rPr>
                <w:sz w:val="20"/>
                <w:szCs w:val="20"/>
                <w:color w:val="auto"/>
              </w:rPr>
            </w:pPr>
            <w:r>
              <w:rPr>
                <w:rFonts w:ascii="Times New Roman" w:cs="Times New Roman" w:eastAsia="Times New Roman" w:hAnsi="Times New Roman"/>
                <w:sz w:val="18"/>
                <w:szCs w:val="18"/>
                <w:color w:val="auto"/>
              </w:rPr>
              <w:t>By: /s/ Bradley J. Ehrman</w:t>
            </w:r>
          </w:p>
        </w:tc>
      </w:tr>
      <w:tr>
        <w:trPr>
          <w:trHeight w:val="191"/>
        </w:trPr>
        <w:tc>
          <w:tcPr>
            <w:tcW w:w="37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tcBorders>
              <w:top w:val="single" w:sz="8" w:color="auto"/>
            </w:tcBorders>
            <w:gridSpan w:val="2"/>
          </w:tcPr>
          <w:p>
            <w:pPr>
              <w:jc w:val="right"/>
              <w:ind w:right="2020"/>
              <w:spacing w:after="0" w:line="191" w:lineRule="exact"/>
              <w:rPr>
                <w:sz w:val="20"/>
                <w:szCs w:val="20"/>
                <w:color w:val="auto"/>
              </w:rPr>
            </w:pPr>
            <w:r>
              <w:rPr>
                <w:rFonts w:ascii="Times New Roman" w:cs="Times New Roman" w:eastAsia="Times New Roman" w:hAnsi="Times New Roman"/>
                <w:sz w:val="18"/>
                <w:szCs w:val="18"/>
                <w:color w:val="auto"/>
                <w:w w:val="98"/>
              </w:rPr>
              <w:t>Bradley J. Ehrman</w:t>
            </w:r>
          </w:p>
        </w:tc>
      </w:tr>
      <w:tr>
        <w:trPr>
          <w:trHeight w:val="234"/>
        </w:trPr>
        <w:tc>
          <w:tcPr>
            <w:tcW w:w="37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pacing w:after="0" w:line="1" w:lineRule="exact"/>
        <w:rPr>
          <w:sz w:val="20"/>
          <w:szCs w:val="20"/>
          <w:color w:val="auto"/>
        </w:rPr>
      </w:pPr>
    </w:p>
    <w:sectPr>
      <w:pgSz w:w="11900" w:h="16838" w:orient="portrait"/>
      <w:cols w:equalWidth="0" w:num="1">
        <w:col w:w="10920"/>
      </w:cols>
      <w:pgMar w:left="320" w:top="576"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2026-03-02T16:14:19Z</dcterms:created>
  <dcterms:modified xsi:type="dcterms:W3CDTF">2026-03-02T16:14:19Z</dcterms:modified>
</cp:coreProperties>
</file>