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4"/>
        </w:rPr>
      </w:pPr>
      <w:bookmarkStart w:id="0" w:name="dmlp20260806_8k.htm"/>
      <w:bookmarkStart w:id="1" w:name="ksdmlp20260806_8k"/>
      <w:bookmarkEnd w:id="0"/>
      <w:bookmarkEnd w:id="1"/>
      <w:r>
        <w:rPr>
          <w:rFonts w:ascii="Times New Roman" w:hAnsi="Times New Roman"/>
          <w:caps w:val="false"/>
          <w:smallCaps w:val="false"/>
          <w:sz w:val="28"/>
        </w:rPr>
        <w:t>UNITED STATES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8"/>
        </w:rPr>
        <w:t>SECURITIES AND EXCHANGE COMMISSION</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8"/>
        </w:rPr>
        <w:t>Washington, D.C. 20549</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32"/>
        </w:rPr>
        <w:t>FORM 8-K</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u w:val="single"/>
        </w:rPr>
        <w:t>August 6,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32"/>
          <w:u w:val="single"/>
        </w:rPr>
        <w:t>DORCHESTER MINERALS, L.P.</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360"/>
        <w:gridCol w:w="60"/>
        <w:gridCol w:w="1100"/>
        <w:gridCol w:w="60"/>
        <w:gridCol w:w="1520"/>
      </w:tblGrid>
      <w:tr>
        <w:trPr/>
        <w:tc>
          <w:tcPr>
            <w:tcW w:w="23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000-50175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81-0551518</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3838 Oak Lawn, Suite 300, Dallas, Texas75219</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caps w:val="false"/>
          <w:smallCaps w:val="false"/>
          <w:sz w:val="20"/>
          <w:u w:val="single"/>
        </w:rPr>
        <w:t>214) 559-0300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N/A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 the registrant under any of the following provisions (</w:t>
      </w:r>
      <w:r>
        <w:rPr>
          <w:rFonts w:ascii="Times New Roman" w:hAnsi="Times New Roman"/>
          <w:caps w:val="false"/>
          <w:smallCaps w:val="false"/>
          <w:sz w:val="20"/>
          <w:u w:val="single"/>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095" w:type="dxa"/>
        <w:jc w:val="left"/>
        <w:tblInd w:w="0" w:type="dxa"/>
        <w:tblLayout w:type="fixed"/>
        <w:tblCellMar>
          <w:top w:w="0" w:type="dxa"/>
          <w:left w:w="0" w:type="dxa"/>
          <w:bottom w:w="28" w:type="dxa"/>
          <w:right w:w="0" w:type="dxa"/>
        </w:tblCellMar>
      </w:tblPr>
      <w:tblGrid>
        <w:gridCol w:w="4670"/>
        <w:gridCol w:w="60"/>
        <w:gridCol w:w="1610"/>
        <w:gridCol w:w="60"/>
        <w:gridCol w:w="3695"/>
      </w:tblGrid>
      <w:tr>
        <w:trPr/>
        <w:tc>
          <w:tcPr>
            <w:tcW w:w="46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46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Units Representing Limited Partnership Interest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DMLP</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967" w:type="dxa"/>
        <w:jc w:val="left"/>
        <w:tblInd w:w="0" w:type="dxa"/>
        <w:tblLayout w:type="fixed"/>
        <w:tblCellMar>
          <w:top w:w="28" w:type="dxa"/>
          <w:left w:w="28" w:type="dxa"/>
          <w:bottom w:w="28" w:type="dxa"/>
          <w:right w:w="28" w:type="dxa"/>
        </w:tblCellMar>
      </w:tblPr>
      <w:tblGrid>
        <w:gridCol w:w="916"/>
        <w:gridCol w:w="4051"/>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2.02</w:t>
            </w:r>
          </w:p>
        </w:tc>
        <w:tc>
          <w:tcPr>
            <w:tcW w:w="405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The Registrant is furnishing its press release dated August 6, 2026, which announces the Registrant’s results for the quarter ended June 30, 2026.  The press release is attached hereto as Exhibit 99.1 to this Form 8-K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9332" w:type="dxa"/>
        <w:jc w:val="left"/>
        <w:tblInd w:w="0" w:type="dxa"/>
        <w:tblLayout w:type="fixed"/>
        <w:tblCellMar>
          <w:top w:w="28" w:type="dxa"/>
          <w:left w:w="28" w:type="dxa"/>
          <w:bottom w:w="28" w:type="dxa"/>
          <w:right w:w="28" w:type="dxa"/>
        </w:tblCellMar>
      </w:tblPr>
      <w:tblGrid>
        <w:gridCol w:w="916"/>
        <w:gridCol w:w="841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5.02</w:t>
            </w:r>
          </w:p>
        </w:tc>
        <w:tc>
          <w:tcPr>
            <w:tcW w:w="841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Departure of Directors or Certain officers; Election of Directors; Appointment of Certain Officers;</w:t>
              <w:br/>
              <w:t>Compensatory Arrangement of Certain Officers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i/>
          <w:caps w:val="false"/>
          <w:smallCaps w:val="false"/>
          <w:sz w:val="20"/>
        </w:rPr>
        <w:t>Executive Severance Plan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On August 6, 2026, the Board of Managers (the “Board”) of Dorchester Minerals Management GP LLC, the ultimate general partner of  Dorchester Minerals, L.P. (the “Partnership”), on behalf of Dorchester Minerals Operating LP (the “Company”), an affiliate of the Partnership, adopted the Dorchester Minerals Operating LP Executive Severance Plan (the “Severance Plan”), which became effective on August 6, 2026. The Severance Plan provides for severance benefits to designated executive officers of the Company (each, a “Participant”), in the event of certain terminations of employment. Certain terms used in this Current Report on Form 8-K are defined in the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The Compensation Committee (the “Compensation Committee”) of the Board will administer the Severance Plan and will designate Eligible Employees to be Participants. Each of Bradley J. Ehrman, Chief Executive Officer, and Leslie Moriyama, Chief Financial Officer, has been designated as a Participant in the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Under the Severance Plan, upon a qualifying termination of employment (defined as a termination by the Company without Cause or by the Participant for Good Reason), a Participant will be entitled to receive (i) a lump sum cash severance payment equal to one and one-half (1½) times the sum of the Participant’s base salary and target annual cash bonus, (ii) a pro-rata annual bonus for the year of termination at target level, (iii) a lump sum cash payment equal to twelve (12) months of COBRA premiums and (iv) pro-rata accelerated time vesting of equity awards scheduled to vest on the next following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In the event of a Qualifying Termination during the one-year period following a Change in Control, a Participant will instead be entitled to receive (i) a lump sum cash severance payment equal to two and one-half (2½) times the sum of the Participant’s base salary and target annual cash bonus, (ii) a pro-rata annual bonus for the year of termination at target level, (iii) a lump sum cash payment equal to twenty-four (24) months of COBRA premiums and (iv) full accelerated time vesting of all outstanding equity awards (with performance-based awards earned at the greater of target or actual performance measured as of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Receipt of severance benefits under the Severance Plan (other than accrued amounts) is conditioned upon the Participant’s execution of a severance agreement containing a release of claims, confidentiality, non-disparagement and cooperation provisions, and non-competition and non-solicitation covenants for a period of twelve (12) months following termination. The Severance Plan may be amended or terminated upon at least 90 days’ advance written notice to Participants, provided that no adverse amendment may be made during the one-year period following a Change in Control without the affected Participant’s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The foregoing summary of the Severance Plan does not purport to be complete and is qualified in its entirety by reference to the full text of the Severance Plan, which is attached as Exhibit 10.1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6512" w:type="dxa"/>
        <w:jc w:val="left"/>
        <w:tblInd w:w="0" w:type="dxa"/>
        <w:tblLayout w:type="fixed"/>
        <w:tblCellMar>
          <w:top w:w="28" w:type="dxa"/>
          <w:left w:w="28" w:type="dxa"/>
          <w:bottom w:w="28" w:type="dxa"/>
          <w:right w:w="28" w:type="dxa"/>
        </w:tblCellMar>
      </w:tblPr>
      <w:tblGrid>
        <w:gridCol w:w="916"/>
        <w:gridCol w:w="559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7.01</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And 9.01</w:t>
            </w:r>
          </w:p>
        </w:tc>
        <w:tc>
          <w:tcPr>
            <w:tcW w:w="559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Regulation FD Disclosure and 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318" w:type="dxa"/>
        <w:jc w:val="left"/>
        <w:tblInd w:w="0" w:type="dxa"/>
        <w:tblLayout w:type="fixed"/>
        <w:tblCellMar>
          <w:top w:w="28" w:type="dxa"/>
          <w:left w:w="28" w:type="dxa"/>
          <w:bottom w:w="28" w:type="dxa"/>
          <w:right w:w="28" w:type="dxa"/>
        </w:tblCellMar>
      </w:tblPr>
      <w:tblGrid>
        <w:gridCol w:w="161"/>
        <w:gridCol w:w="316"/>
        <w:gridCol w:w="84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841"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2"/>
        <w:gridCol w:w="9373"/>
      </w:tblGrid>
      <w:tr>
        <w:trPr/>
        <w:tc>
          <w:tcPr>
            <w:tcW w:w="832"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937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832" w:type="dxa"/>
            <w:tcBorders/>
            <w:vAlign w:val="center"/>
          </w:tcPr>
          <w:p>
            <w:pPr>
              <w:pStyle w:val="TableContents"/>
              <w:bidi w:val="0"/>
              <w:spacing w:before="0" w:after="0"/>
              <w:ind w:left="0" w:right="0" w:hanging="0"/>
              <w:jc w:val="left"/>
              <w:rPr/>
            </w:pPr>
            <w:r>
              <w:rPr/>
              <w:t> </w:t>
            </w:r>
          </w:p>
        </w:tc>
        <w:tc>
          <w:tcPr>
            <w:tcW w:w="9373"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9373" w:type="dxa"/>
            <w:tcBorders/>
            <w:vAlign w:val="center"/>
          </w:tcPr>
          <w:p>
            <w:pPr>
              <w:pStyle w:val="TableContents"/>
              <w:bidi w:val="0"/>
              <w:spacing w:before="0" w:after="0"/>
              <w:ind w:left="0" w:right="0" w:hanging="0"/>
              <w:jc w:val="left"/>
              <w:rPr/>
            </w:pPr>
            <w:hyperlink w:anchor="ex_1000629.htm">
              <w:r>
                <w:rPr>
                  <w:rStyle w:val="InternetLink"/>
                  <w:rFonts w:ascii="Times New Roman" w:hAnsi="Times New Roman"/>
                  <w:caps w:val="false"/>
                  <w:smallCaps w:val="false"/>
                  <w:sz w:val="20"/>
                </w:rPr>
                <w:t>Dorchester Minerals Operating LP Executive Severance Plan, adopted August 6, 2026.</w:t>
              </w:r>
            </w:hyperlink>
          </w:p>
        </w:tc>
      </w:tr>
      <w:tr>
        <w:trPr/>
        <w:tc>
          <w:tcPr>
            <w:tcW w:w="832" w:type="dxa"/>
            <w:tcBorders/>
            <w:vAlign w:val="center"/>
          </w:tcPr>
          <w:p>
            <w:pPr>
              <w:pStyle w:val="TableContents"/>
              <w:bidi w:val="0"/>
              <w:spacing w:before="0" w:after="0"/>
              <w:ind w:left="0" w:right="0" w:hanging="0"/>
              <w:jc w:val="left"/>
              <w:rPr/>
            </w:pPr>
            <w:r>
              <w:rPr/>
              <w:t> </w:t>
            </w:r>
          </w:p>
        </w:tc>
        <w:tc>
          <w:tcPr>
            <w:tcW w:w="9373"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9373" w:type="dxa"/>
            <w:tcBorders/>
            <w:vAlign w:val="center"/>
          </w:tcPr>
          <w:p>
            <w:pPr>
              <w:pStyle w:val="TableContents"/>
              <w:bidi w:val="0"/>
              <w:spacing w:before="0" w:after="0"/>
              <w:ind w:left="0" w:right="0" w:hanging="0"/>
              <w:jc w:val="left"/>
              <w:rPr/>
            </w:pPr>
            <w:hyperlink w:anchor="ex_1000630.htm">
              <w:r>
                <w:rPr>
                  <w:rStyle w:val="InternetLink"/>
                  <w:rFonts w:ascii="Times New Roman" w:hAnsi="Times New Roman"/>
                  <w:caps w:val="false"/>
                  <w:smallCaps w:val="false"/>
                  <w:sz w:val="20"/>
                </w:rPr>
                <w:t>Press Release dated August 6, 2026, announcing the Registrant’s results for the quarter ended June 30, 2026. The press release is attached hereto as Exhibit 99.1 and incorporated herein by reference.</w:t>
              </w:r>
            </w:hyperlink>
            <w:r>
              <w:rPr>
                <w:rFonts w:ascii="Times New Roman" w:hAnsi="Times New Roman"/>
                <w:caps w:val="false"/>
                <w:smallCaps w:val="false"/>
                <w:sz w:val="20"/>
              </w:rPr>
              <w:t xml:space="preserve"> </w:t>
              <w:br/>
              <w:br/>
              <w:t>See Item 2.02. Results of Operations and Financial Condition.</w:t>
            </w:r>
          </w:p>
        </w:tc>
      </w:tr>
      <w:tr>
        <w:trPr/>
        <w:tc>
          <w:tcPr>
            <w:tcW w:w="832" w:type="dxa"/>
            <w:tcBorders/>
            <w:vAlign w:val="center"/>
          </w:tcPr>
          <w:p>
            <w:pPr>
              <w:pStyle w:val="TableContents"/>
              <w:bidi w:val="0"/>
              <w:spacing w:before="0" w:after="0"/>
              <w:ind w:left="0" w:right="0" w:hanging="0"/>
              <w:jc w:val="left"/>
              <w:rPr/>
            </w:pPr>
            <w:r>
              <w:rPr/>
              <w:t> </w:t>
            </w:r>
          </w:p>
        </w:tc>
        <w:tc>
          <w:tcPr>
            <w:tcW w:w="9373"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3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Limitation on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general instructions B.2 and B.6 of Form 8-K, the information disclosed in this report under Item 7.01, including Exhibit 99.1 and 99.2, is being furnished and shall not be deemed “filed” for the purposes of Section 18 of the Securities Exchange Act of 1934, as amended, or otherwise subject to the liability of that section, and shall not be deemed incorporated by reference into any filing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DORCHESTER MINERALS, L.P.</w:t>
      </w:r>
      <w:r>
        <w:rPr>
          <w:rFonts w:ascii="Times New Roman" w:hAnsi="Times New Roman"/>
          <w:caps w:val="false"/>
          <w:smallCaps w:val="false"/>
          <w:sz w:val="20"/>
        </w:rPr>
        <w:t xml:space="preserve">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by  Dorchester Minerals Management LP</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its General Partner,</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by  Dorchester Minerals Management GP LLC</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its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Leslie A. Moriyama</w:t>
      </w:r>
      <w:r>
        <w:rPr>
          <w:rFonts w:ascii="Times New Roman" w:hAnsi="Times New Roman"/>
          <w:caps w:val="false"/>
          <w:smallCaps w:val="false"/>
          <w:sz w:val="20"/>
        </w:rPr>
        <w:t xml:space="preserve"> </w:t>
      </w:r>
    </w:p>
    <w:p>
      <w:pPr>
        <w:pStyle w:val="TextBody"/>
        <w:bidi w:val="0"/>
        <w:spacing w:before="0" w:after="0"/>
        <w:ind w:left="4320" w:right="0" w:firstLine="720"/>
        <w:jc w:val="left"/>
        <w:rPr>
          <w:rFonts w:ascii="Times New Roman" w:hAnsi="Times New Roman"/>
          <w:caps w:val="false"/>
          <w:smallCaps w:val="false"/>
          <w:sz w:val="20"/>
        </w:rPr>
      </w:pPr>
      <w:r>
        <w:rPr>
          <w:rFonts w:ascii="Times New Roman" w:hAnsi="Times New Roman"/>
          <w:caps w:val="false"/>
          <w:smallCaps w:val="false"/>
          <w:sz w:val="20"/>
        </w:rPr>
        <w:t>Leslie A. Moriyama</w:t>
      </w:r>
    </w:p>
    <w:p>
      <w:pPr>
        <w:pStyle w:val="TextBody"/>
        <w:bidi w:val="0"/>
        <w:spacing w:before="0" w:after="0"/>
        <w:ind w:left="4320" w:right="0" w:firstLine="72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extBody"/>
        <w:bidi w:val="0"/>
        <w:ind w:left="4320" w:right="0" w:firstLine="72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2" w:name="ex_1000629.htm"/>
      <w:bookmarkStart w:id="3" w:name="ksex_1000629"/>
      <w:bookmarkEnd w:id="2"/>
      <w:bookmarkEnd w:id="3"/>
      <w:r>
        <w:rPr>
          <w:rFonts w:ascii="Times New Roman" w:hAnsi="Times New Roman"/>
          <w:b/>
          <w:caps w:val="false"/>
          <w:smallCaps w:val="false"/>
          <w:sz w:val="20"/>
        </w:rPr>
        <w:t>EXHIBIT 10.1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8"/>
        </w:rPr>
        <w:t>Dorchester Minerals Operating LP</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8"/>
        </w:rPr>
        <w:t>Executive Severance Plan</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t xml:space="preserve"> </w:t>
        <w:br/>
      </w:r>
      <w:r>
        <w:rPr>
          <w:rFonts w:ascii="Times New Roman" w:hAnsi="Times New Roman"/>
          <w:b/>
          <w:caps w:val="false"/>
          <w:smallCaps w:val="false"/>
          <w:sz w:val="20"/>
        </w:rPr>
        <w:t>PURPOSE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Executive Severance Plan has been established by the Company on August 6, 2026 (the "</w:t>
      </w:r>
      <w:r>
        <w:rPr>
          <w:rFonts w:ascii="Times New Roman" w:hAnsi="Times New Roman"/>
          <w:b/>
          <w:caps w:val="false"/>
          <w:smallCaps w:val="false"/>
          <w:sz w:val="20"/>
        </w:rPr>
        <w:t>Effective Date</w:t>
      </w:r>
      <w:r>
        <w:rPr>
          <w:rFonts w:ascii="Times New Roman" w:hAnsi="Times New Roman"/>
          <w:caps w:val="false"/>
          <w:smallCaps w:val="false"/>
          <w:sz w:val="20"/>
        </w:rPr>
        <w:t>") to provide Participants with the opportunity to receive severance benefits in the event of certain terminations of employment. The purpose of the Plan is to attract and retain qualified executives. The Plan is intended to be a top hat welfare benefit plan under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Capitalized terms used but not otherwise defined herein have the meanings set forth in ‎ARTICLE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t xml:space="preserve"> </w:t>
        <w:br/>
      </w:r>
      <w:r>
        <w:rPr>
          <w:rFonts w:ascii="Times New Roman" w:hAnsi="Times New Roman"/>
          <w:b/>
          <w:caps w:val="false"/>
          <w:smallCaps w:val="false"/>
          <w:sz w:val="20"/>
        </w:rPr>
        <w:t>DEFINITIONS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Accountants</w:t>
      </w:r>
      <w:r>
        <w:rPr>
          <w:rFonts w:ascii="Times New Roman" w:hAnsi="Times New Roman"/>
          <w:caps w:val="false"/>
          <w:smallCaps w:val="false"/>
          <w:sz w:val="20"/>
        </w:rPr>
        <w:t>" has the meaning set forth in Section 8.03.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ACA</w:t>
      </w:r>
      <w:r>
        <w:rPr>
          <w:rFonts w:ascii="Times New Roman" w:hAnsi="Times New Roman"/>
          <w:caps w:val="false"/>
          <w:smallCaps w:val="false"/>
          <w:sz w:val="20"/>
        </w:rPr>
        <w:t>" means the Patient Protection and Affordable Care Act, as amended by the Health Care and Education Reconciliation Act of 2010, and implementing regulations and related guidance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Administrator</w:t>
      </w:r>
      <w:r>
        <w:rPr>
          <w:rFonts w:ascii="Times New Roman" w:hAnsi="Times New Roman"/>
          <w:caps w:val="false"/>
          <w:smallCaps w:val="false"/>
          <w:sz w:val="20"/>
        </w:rPr>
        <w:t>" means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Applicable CIC Severance Multiplier</w:t>
      </w:r>
      <w:r>
        <w:rPr>
          <w:rFonts w:ascii="Times New Roman" w:hAnsi="Times New Roman"/>
          <w:caps w:val="false"/>
          <w:smallCaps w:val="false"/>
          <w:sz w:val="20"/>
        </w:rPr>
        <w:t>" means two and one-half (2½).</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Applicable Severance Multiplier</w:t>
      </w:r>
      <w:r>
        <w:rPr>
          <w:rFonts w:ascii="Times New Roman" w:hAnsi="Times New Roman"/>
          <w:caps w:val="false"/>
          <w:smallCaps w:val="false"/>
          <w:sz w:val="20"/>
        </w:rPr>
        <w:t>" means one and one-half (1½).</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Board</w:t>
      </w:r>
      <w:r>
        <w:rPr>
          <w:rFonts w:ascii="Times New Roman" w:hAnsi="Times New Roman"/>
          <w:caps w:val="false"/>
          <w:smallCaps w:val="false"/>
          <w:sz w:val="20"/>
        </w:rPr>
        <w:t>" means the Board of Managers of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Cause</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(a) the Participant's willful failure to perform their duties (other than any such failure resulting from incapacity due to physical or mental illness);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(b) the Participant's willful failure to comply with any valid and legal directive of the Board or the person to whom the Participant reports;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(c) the Participant's willful engagement in dishonesty, illegal conduct or gross misconduct, which is, in each case, materially injurious to the Company or its affiliates;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(d) the Participant's embezzlement, misappropriation or fraud, whether or not related to the Participant's employment with the Company;</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 xml:space="preserve">(e) the Participant's conviction of or plea of guilty or </w:t>
      </w:r>
      <w:r>
        <w:rPr>
          <w:rFonts w:ascii="Times New Roman" w:hAnsi="Times New Roman"/>
          <w:i/>
          <w:caps w:val="false"/>
          <w:smallCaps w:val="false"/>
          <w:sz w:val="20"/>
        </w:rPr>
        <w:t>nolo contendere</w:t>
      </w:r>
      <w:r>
        <w:rPr>
          <w:rFonts w:ascii="Times New Roman" w:hAnsi="Times New Roman"/>
          <w:caps w:val="false"/>
          <w:smallCaps w:val="false"/>
          <w:sz w:val="20"/>
        </w:rPr>
        <w:t xml:space="preserve"> to a crime that constitutes a felony (or state law equivalent) or a crime that constitutes a misdemeanor involving moral turpitude;</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(f) the Participant's material violation of the Company's written policies or codes of conduct, including written policies related to discrimination, harassment, performance of illegal or unethical activities, and ethical misconduct; or</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(g) the Participant's engagement in conduct that brings or is reasonably likely to bring the Company negative publicity or into public disgrace, embarrassment, or disrepute.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definition, no act or failure to act on the part of the Participant shall be considered "willful" unless it is done, or omitted to be done, by the Participant in bad faith or without reasonable belief that the Participant's action or omission was in the best interests of the Company.</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Change in Control</w:t>
      </w:r>
      <w:r>
        <w:rPr>
          <w:rFonts w:ascii="Times New Roman" w:hAnsi="Times New Roman"/>
          <w:caps w:val="false"/>
          <w:smallCaps w:val="false"/>
          <w:sz w:val="20"/>
        </w:rPr>
        <w:t>" means a transaction or a series of related transactions (including by way of merger, consolidation, recapitalization, reorganization or sale of securities) the result of which is that (i) the existing equity holders (determined as of the Effective Date) of the General Partner are (after giving effect to such transaction or series of related transactions) no longer, in the aggregate, the beneficial owners, directly or indirectly through one or more intermediaries or controlled affiliates, of at least a majority of the outstanding securities of the General Partner; and (ii) the Appointed Managers (as defined in the General Partner Agreement) and the Independent Managers (as defined in the General Partner Agreement) no longer, in the aggregate, constitute a majority of the Board (after giving effect to such transaction or series of related transactions); provided, however, that an acquisition or consolidation of the General Partner by Dorchester Minerals, L.P. shall not constitute a Change in Control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Change in Control Severance</w:t>
      </w:r>
      <w:r>
        <w:rPr>
          <w:rFonts w:ascii="Times New Roman" w:hAnsi="Times New Roman"/>
          <w:caps w:val="false"/>
          <w:smallCaps w:val="false"/>
          <w:sz w:val="20"/>
        </w:rPr>
        <w:t>" has the meaning set forth in Section 5.01(a).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COBRA</w:t>
      </w:r>
      <w:r>
        <w:rPr>
          <w:rFonts w:ascii="Times New Roman" w:hAnsi="Times New Roman"/>
          <w:caps w:val="false"/>
          <w:smallCaps w:val="false"/>
          <w:sz w:val="20"/>
        </w:rPr>
        <w:t>" means the Consolidated Omnibus Budget Reconciliation Act of 1985.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Code</w:t>
      </w:r>
      <w:r>
        <w:rPr>
          <w:rFonts w:ascii="Times New Roman" w:hAnsi="Times New Roman"/>
          <w:caps w:val="false"/>
          <w:smallCaps w:val="false"/>
          <w:sz w:val="20"/>
        </w:rPr>
        <w:t>" means the Internal Revenue Code of 1986, as amended. Any reference to a section of the Code shall be deemed to include a reference to any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Company</w:t>
      </w:r>
      <w:r>
        <w:rPr>
          <w:rFonts w:ascii="Times New Roman" w:hAnsi="Times New Roman"/>
          <w:caps w:val="false"/>
          <w:smallCaps w:val="false"/>
          <w:sz w:val="20"/>
        </w:rPr>
        <w:t>" means Dorchester Minerals Operating LP, a Delaware limited partnership,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Compensation Committee</w:t>
      </w:r>
      <w:r>
        <w:rPr>
          <w:rFonts w:ascii="Times New Roman" w:hAnsi="Times New Roman"/>
          <w:caps w:val="false"/>
          <w:smallCaps w:val="false"/>
          <w:sz w:val="20"/>
        </w:rPr>
        <w:t>" means the Compensation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Covered Payments</w:t>
      </w:r>
      <w:r>
        <w:rPr>
          <w:rFonts w:ascii="Times New Roman" w:hAnsi="Times New Roman"/>
          <w:caps w:val="false"/>
          <w:smallCaps w:val="false"/>
          <w:sz w:val="20"/>
        </w:rPr>
        <w:t>" has the meaning set forth in Section 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Covered Period</w:t>
      </w:r>
      <w:r>
        <w:rPr>
          <w:rFonts w:ascii="Times New Roman" w:hAnsi="Times New Roman"/>
          <w:caps w:val="false"/>
          <w:smallCaps w:val="false"/>
          <w:sz w:val="20"/>
        </w:rPr>
        <w:t>" means the period of time beginning on the first occurrence of a Change in Control and lasting through the one-year anniversary of the occurrence of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Effective Date</w:t>
      </w:r>
      <w:r>
        <w:rPr>
          <w:rFonts w:ascii="Times New Roman" w:hAnsi="Times New Roman"/>
          <w:caps w:val="false"/>
          <w:smallCaps w:val="false"/>
          <w:sz w:val="20"/>
        </w:rPr>
        <w:t>" has the meaning set forth in ‎ARTICLE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Eligible Employee</w:t>
      </w:r>
      <w:r>
        <w:rPr>
          <w:rFonts w:ascii="Times New Roman" w:hAnsi="Times New Roman"/>
          <w:caps w:val="false"/>
          <w:smallCaps w:val="false"/>
          <w:sz w:val="20"/>
        </w:rPr>
        <w:t>" means any full-time employee of the Company who is an executive officer. Eligible Employees shall be limited to a select group of management or highly compensated employees within the meaning of Sections 201, 301, and 404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ERISA</w:t>
      </w:r>
      <w:r>
        <w:rPr>
          <w:rFonts w:ascii="Times New Roman" w:hAnsi="Times New Roman"/>
          <w:caps w:val="false"/>
          <w:smallCaps w:val="false"/>
          <w:sz w:val="20"/>
        </w:rPr>
        <w:t>" means the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Excise Tax</w:t>
      </w:r>
      <w:r>
        <w:rPr>
          <w:rFonts w:ascii="Times New Roman" w:hAnsi="Times New Roman"/>
          <w:caps w:val="false"/>
          <w:smallCaps w:val="false"/>
          <w:sz w:val="20"/>
        </w:rPr>
        <w:t>" has the meaning set forth in Section 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General Partner</w:t>
      </w:r>
      <w:r>
        <w:rPr>
          <w:rFonts w:ascii="Times New Roman" w:hAnsi="Times New Roman"/>
          <w:caps w:val="false"/>
          <w:smallCaps w:val="false"/>
          <w:sz w:val="20"/>
        </w:rPr>
        <w:t>" means Dorchester Minerals Management GP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General Partner Agreement</w:t>
      </w:r>
      <w:r>
        <w:rPr>
          <w:rFonts w:ascii="Times New Roman" w:hAnsi="Times New Roman"/>
          <w:caps w:val="false"/>
          <w:smallCaps w:val="false"/>
          <w:sz w:val="20"/>
        </w:rPr>
        <w:t>" means the Second Amended and Restated Limited Liability Company Agreement of Dorchester Minerals Management GP LLC, effective as of October 15, 2024, and as subsequently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Good Reason</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(a) a material reduction in the Participant's base salary;</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(b) a material reduction in the Participant's target annual bonus opportunity;</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(c) a relocation of the Participant's principal place of employment by more than 50 miles;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(d) the Company's failure to obtain an agreement from any successor to the Company to assume and agree to perform the obligations under the Plan in the same manner and to the same extent that the Company would be required to perform, except where such assumption occurs by operation of law; or</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(e) a material, adverse change in the Participant's title, reporting relationship, authority, duties or responsibilities (other than temporarily while the Participant is physically or mentally incapacitated or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Participant cannot terminate their employment for Good Reason unless they have provided written notice to the Company of the existence of the circumstances providing grounds for termination for Good Reason within 60 days of the initial existence of such grounds and the Company has had at least 30 days from the date on which such notice is provided to cure such circumstances, if curable. If the Participant does not terminate their employment for Good Reason within 120 days after the first occurrence of the applicable grounds, then the Participant will be deemed to have waived their right to terminate for Good Reason with respect to such grounds.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Parachute Payments</w:t>
      </w:r>
      <w:r>
        <w:rPr>
          <w:rFonts w:ascii="Times New Roman" w:hAnsi="Times New Roman"/>
          <w:caps w:val="false"/>
          <w:smallCaps w:val="false"/>
          <w:sz w:val="20"/>
        </w:rPr>
        <w:t>" has the meaning set forth in Section 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Participant</w:t>
      </w:r>
      <w:r>
        <w:rPr>
          <w:rFonts w:ascii="Times New Roman" w:hAnsi="Times New Roman"/>
          <w:caps w:val="false"/>
          <w:smallCaps w:val="false"/>
          <w:sz w:val="20"/>
        </w:rPr>
        <w:t>" has the meaning set forth in ‎Section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Plan</w:t>
      </w:r>
      <w:r>
        <w:rPr>
          <w:rFonts w:ascii="Times New Roman" w:hAnsi="Times New Roman"/>
          <w:caps w:val="false"/>
          <w:smallCaps w:val="false"/>
          <w:sz w:val="20"/>
        </w:rPr>
        <w:t>" means this Dorchester Minerals Operating LP Executive Severance Plan, as may be amended and/or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Pro-Rata Bonus</w:t>
      </w:r>
      <w:r>
        <w:rPr>
          <w:rFonts w:ascii="Times New Roman" w:hAnsi="Times New Roman"/>
          <w:caps w:val="false"/>
          <w:smallCaps w:val="false"/>
          <w:sz w:val="20"/>
        </w:rPr>
        <w:t>" has the meaning set forth in ‎Section 4.01(b).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Qualifying Termination</w:t>
      </w:r>
      <w:r>
        <w:rPr>
          <w:rFonts w:ascii="Times New Roman" w:hAnsi="Times New Roman"/>
          <w:caps w:val="false"/>
          <w:smallCaps w:val="false"/>
          <w:sz w:val="20"/>
        </w:rPr>
        <w:t>" means the termination of a Participant's employment either (a) by the Company without Cause; or (b) by the Participant for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Reduced Amount</w:t>
      </w:r>
      <w:r>
        <w:rPr>
          <w:rFonts w:ascii="Times New Roman" w:hAnsi="Times New Roman"/>
          <w:caps w:val="false"/>
          <w:smallCaps w:val="false"/>
          <w:sz w:val="20"/>
        </w:rPr>
        <w:t>" has the meaning set forth in Section 8.01(a).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Severance</w:t>
      </w:r>
      <w:r>
        <w:rPr>
          <w:rFonts w:ascii="Times New Roman" w:hAnsi="Times New Roman"/>
          <w:caps w:val="false"/>
          <w:smallCaps w:val="false"/>
          <w:sz w:val="20"/>
        </w:rPr>
        <w:t>" has the meaning set forth in ‎Section 4.01(a).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Severance Agreement</w:t>
      </w:r>
      <w:r>
        <w:rPr>
          <w:rFonts w:ascii="Times New Roman" w:hAnsi="Times New Roman"/>
          <w:caps w:val="false"/>
          <w:smallCaps w:val="false"/>
          <w:sz w:val="20"/>
        </w:rPr>
        <w:t>" has the meaning set forth in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Specified Employee Payment Date</w:t>
      </w:r>
      <w:r>
        <w:rPr>
          <w:rFonts w:ascii="Times New Roman" w:hAnsi="Times New Roman"/>
          <w:caps w:val="false"/>
          <w:smallCaps w:val="false"/>
          <w:sz w:val="20"/>
        </w:rPr>
        <w:t>" has the meaning set forth in ‎Section 11.13(b).</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t xml:space="preserve"> </w:t>
        <w:br/>
      </w:r>
      <w:r>
        <w:rPr>
          <w:rFonts w:ascii="Times New Roman" w:hAnsi="Times New Roman"/>
          <w:b/>
          <w:caps w:val="false"/>
          <w:smallCaps w:val="false"/>
          <w:sz w:val="20"/>
        </w:rPr>
        <w:t>PARTICIPATION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3.01    Participants.</w:t>
      </w:r>
      <w:r>
        <w:rPr>
          <w:rFonts w:ascii="Times New Roman" w:hAnsi="Times New Roman"/>
          <w:caps w:val="false"/>
          <w:smallCaps w:val="false"/>
          <w:sz w:val="20"/>
        </w:rPr>
        <w:t xml:space="preserve"> The Administrator shall designate and provide written notice to each Eligible Employee chosen by the Administrator to participate in the Plan (each, a "</w:t>
      </w:r>
      <w:r>
        <w:rPr>
          <w:rFonts w:ascii="Times New Roman" w:hAnsi="Times New Roman"/>
          <w:b/>
          <w:caps w:val="false"/>
          <w:smallCaps w:val="false"/>
          <w:sz w:val="20"/>
        </w:rPr>
        <w:t>Participant</w:t>
      </w:r>
      <w:r>
        <w:rPr>
          <w:rFonts w:ascii="Times New Roman" w:hAnsi="Times New Roman"/>
          <w:caps w:val="false"/>
          <w:smallCaps w:val="false"/>
          <w:sz w:val="20"/>
        </w:rPr>
        <w:t xml:space="preserve">"). </w:t>
      </w:r>
      <w:r>
        <w:rPr>
          <w:rFonts w:ascii="Times New Roman" w:hAnsi="Times New Roman"/>
          <w:caps w:val="false"/>
          <w:smallCaps w:val="false"/>
          <w:sz w:val="20"/>
          <w:u w:val="single"/>
        </w:rPr>
        <w:t>Appendix A</w:t>
      </w:r>
      <w:r>
        <w:rPr>
          <w:rFonts w:ascii="Times New Roman" w:hAnsi="Times New Roman"/>
          <w:caps w:val="false"/>
          <w:smallCaps w:val="false"/>
          <w:sz w:val="20"/>
        </w:rPr>
        <w:t xml:space="preserve"> of the Plan, as it may be updated from time to time by the Administrator, shall at all times contain a current list of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t xml:space="preserve"> </w:t>
        <w:br/>
      </w:r>
      <w:r>
        <w:rPr>
          <w:rFonts w:ascii="Times New Roman" w:hAnsi="Times New Roman"/>
          <w:b/>
          <w:caps w:val="false"/>
          <w:smallCaps w:val="false"/>
          <w:sz w:val="20"/>
        </w:rPr>
        <w:t>SEVERANCE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4.01    Severance.</w:t>
      </w:r>
      <w:r>
        <w:rPr>
          <w:rFonts w:ascii="Times New Roman" w:hAnsi="Times New Roman"/>
          <w:caps w:val="false"/>
          <w:smallCaps w:val="false"/>
          <w:sz w:val="20"/>
        </w:rPr>
        <w:t xml:space="preserve"> If a Participant experiences a Qualifying Termination, then, subject to ‎ARTICLE VII, the Company will provide the Participant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Any accrued but unpaid base salary and accrued but unused vacation which shall be paid on the pay date immediately following the Qualifying Termination in accordance with the Company's customary payroll procedures; any earned but unpaid annual bonus with respect to any completed fiscal year immediately preceding the Qualifying Termination, which shall be paid on the otherwise applicable payment date; reimbursement for unreimbursed business expenses properly incurred by the Participant, which shall be subject to and paid in accordance with the Company's expense reimbursement policy; and such employee benefits, if any, to which the Participant may be entitled under the Company's employee benefit plans as of the Qualifying Termination; provided that, in no event shall the Participant be entitled to any payments in the nature of severance or termination payments except as specifically provided herein (collectively, the “</w:t>
      </w:r>
      <w:r>
        <w:rPr>
          <w:rFonts w:ascii="Times New Roman" w:hAnsi="Times New Roman"/>
          <w:b/>
          <w:caps w:val="false"/>
          <w:smallCaps w:val="false"/>
          <w:sz w:val="20"/>
        </w:rPr>
        <w:t>Accrued Amounts</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Severance in an amount equal to the product of the Participant's Applicable Severance Multiplier times the sum of the Participant's base salary in effect immediately prior to the date of the Qualifying Termination plus the Participant's target annual cash bonus for the year in which the Qualifying Termination occurs ("</w:t>
      </w:r>
      <w:r>
        <w:rPr>
          <w:rFonts w:ascii="Times New Roman" w:hAnsi="Times New Roman"/>
          <w:b/>
          <w:caps w:val="false"/>
          <w:smallCaps w:val="false"/>
          <w:sz w:val="20"/>
        </w:rPr>
        <w:t>Severance</w:t>
      </w:r>
      <w:r>
        <w:rPr>
          <w:rFonts w:ascii="Times New Roman" w:hAnsi="Times New Roman"/>
          <w:caps w:val="false"/>
          <w:smallCaps w:val="false"/>
          <w:sz w:val="20"/>
        </w:rPr>
        <w:t>"). Subject to ‎Section 11.13, Severance will be paid in a single lump-sum within sixty (60) days following the Qualifying Termination;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A prorated annual bonus equal to the product of (i) the annual bonus, if any, that the Participant would have earned for the entire fiscal year in which the Qualifying Termination occurs at target level; and (ii) a fraction, the numerator of which is the number of days the Participant was employed by the Company during the fiscal year in which the Qualifying Termination occurs and the denominator of which is the number of days in such year (a "</w:t>
      </w:r>
      <w:r>
        <w:rPr>
          <w:rFonts w:ascii="Times New Roman" w:hAnsi="Times New Roman"/>
          <w:b/>
          <w:caps w:val="false"/>
          <w:smallCaps w:val="false"/>
          <w:sz w:val="20"/>
        </w:rPr>
        <w:t>Pro-Rata Bonus</w:t>
      </w:r>
      <w:r>
        <w:rPr>
          <w:rFonts w:ascii="Times New Roman" w:hAnsi="Times New Roman"/>
          <w:caps w:val="false"/>
          <w:smallCaps w:val="false"/>
          <w:sz w:val="20"/>
        </w:rPr>
        <w:t>"). Subject to ‎Section 11.13, a Participant's Pro-Rata Bonus shall be paid within sixty (60) days following the Qualifying Termination;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An amount equal to twelve (12) months of the monthly COBRA premium under the Company’s health and welfare plans for the Participant and their eligible dependents (the “</w:t>
      </w:r>
      <w:r>
        <w:rPr>
          <w:rFonts w:ascii="Times New Roman" w:hAnsi="Times New Roman"/>
          <w:b/>
          <w:caps w:val="false"/>
          <w:smallCaps w:val="false"/>
          <w:sz w:val="20"/>
        </w:rPr>
        <w:t>COBRA Payment</w:t>
      </w:r>
      <w:r>
        <w:rPr>
          <w:rFonts w:ascii="Times New Roman" w:hAnsi="Times New Roman"/>
          <w:caps w:val="false"/>
          <w:smallCaps w:val="false"/>
          <w:sz w:val="20"/>
        </w:rPr>
        <w:t>”); provided that in the event the Participant does not participate in the Company’s health and welfare plans at the time of the Qualifying Termination, then such amount shall be reasonably determined by the Administrator as if the Participant and their eligible dependents participated in the Company’s health and welfare plans. Subject to ‎Section 11.13, the COBRA Payment will be paid in a single lump-sum within sixty (60) days following the Qualifying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t xml:space="preserve"> </w:t>
        <w:br/>
      </w:r>
      <w:r>
        <w:rPr>
          <w:rFonts w:ascii="Times New Roman" w:hAnsi="Times New Roman"/>
          <w:b/>
          <w:caps w:val="false"/>
          <w:smallCaps w:val="false"/>
          <w:sz w:val="20"/>
        </w:rPr>
        <w:t>CHANGE IN CONTROL SEVERANCE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5.01    Change in Control Severance.</w:t>
      </w:r>
      <w:r>
        <w:rPr>
          <w:rFonts w:ascii="Times New Roman" w:hAnsi="Times New Roman"/>
          <w:caps w:val="false"/>
          <w:smallCaps w:val="false"/>
          <w:sz w:val="20"/>
        </w:rPr>
        <w:t xml:space="preserve"> If a Participant experiences a Qualifying Termination during the Covered Period, then, subject to ‎ARTICLE VII, the Company will provide the Participant with the following in lieu of that provided in Section 4.01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Accrued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Change in Control Severance in an amount equal to the product of the Participant's Applicable CIC Severance Multiplier times the sum of the Participant's base salary in effect immediately prior to the date of the Qualifying Termination plus the Participant's target annual cash bonus for the year in which the Qualifying Termination occurs ("</w:t>
      </w:r>
      <w:r>
        <w:rPr>
          <w:rFonts w:ascii="Times New Roman" w:hAnsi="Times New Roman"/>
          <w:b/>
          <w:caps w:val="false"/>
          <w:smallCaps w:val="false"/>
          <w:sz w:val="20"/>
        </w:rPr>
        <w:t>Change in Control Severance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Subject to ‎Section 10.13, Change in Control Severance will be paid in a single lump-sum within sixty (60) days following the Qualifying Termination;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A Pro-Rata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Subject to ‎Section 10.13, a Participant's Pro-Rata Bonus shall be paid within sixty (60) days following the Qualifying Termination;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An amount equal to twenty-four (24) months of the monthly COBRA premium under the Company’s health and welfare plans for the Participant and their eligible dependents (the “</w:t>
      </w:r>
      <w:r>
        <w:rPr>
          <w:rFonts w:ascii="Times New Roman" w:hAnsi="Times New Roman"/>
          <w:b/>
          <w:caps w:val="false"/>
          <w:smallCaps w:val="false"/>
          <w:sz w:val="20"/>
        </w:rPr>
        <w:t>CIC COBRA Payment</w:t>
      </w:r>
      <w:r>
        <w:rPr>
          <w:rFonts w:ascii="Times New Roman" w:hAnsi="Times New Roman"/>
          <w:caps w:val="false"/>
          <w:smallCaps w:val="false"/>
          <w:sz w:val="20"/>
        </w:rPr>
        <w:t>”) ; provided that in the event the Participant does not participate in the Company’s health and welfare plans at the time of the Qualifying Termination, then such amount shall be reasonably determined by the Administrator as if the Participant and their eligible dependents participated in the Company’s health and welfare plans. Subject to ‎Section 11.13, the CIC COBRA Payment will be paid in a single lump-sum within sixty (60) days following the Qualifying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w:t>
      </w:r>
      <w:r>
        <w:rPr>
          <w:rFonts w:ascii="Times New Roman" w:hAnsi="Times New Roman"/>
          <w:caps w:val="false"/>
          <w:smallCaps w:val="false"/>
          <w:sz w:val="20"/>
        </w:rPr>
        <w:t xml:space="preserve"> </w:t>
        <w:br/>
      </w:r>
      <w:r>
        <w:rPr>
          <w:rFonts w:ascii="Times New Roman" w:hAnsi="Times New Roman"/>
          <w:b/>
          <w:caps w:val="false"/>
          <w:smallCaps w:val="false"/>
          <w:sz w:val="20"/>
        </w:rPr>
        <w:t>EQUITY AWARDS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6.01    Qualifying Termination.</w:t>
      </w:r>
      <w:r>
        <w:rPr>
          <w:rFonts w:ascii="Times New Roman" w:hAnsi="Times New Roman"/>
          <w:caps w:val="false"/>
          <w:smallCaps w:val="false"/>
          <w:sz w:val="20"/>
        </w:rPr>
        <w:t xml:space="preserve"> Notwithstanding the terms of the Company equity plan or plans under which a Participant's equity awards are granted or any applicable award agreements, if a Participant has a Qualifying Termination, then, subject to ‎ARTICLE VII: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number of units subject to each of the Participant's outstanding unvested time-based equity awards, if any, that are due to vest on the vesting date next following such Qualifying Termination shall become vested in an amount equal to the product of (i) the number of such units; and (ii) a fraction, the numerator of which is the number of days the Participant was employed by the Company during the annual vesting period in which the Qualifying Termination occurs and the denominator of which is the number of days in such annual vesting period;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number of units subject to each of the Participant's outstanding unvested equity awards with performance-based vesting, if any, equal to the product of (i) the number of such units due to vest on the vesting date next following such Qualifying Termination, and (ii) a fraction, the numerator of which is the number of days the Participant was employed by the Company during the annual vesting period in which the Qualifying Termination occurs and the denominator of which is the total number of days in such annual vesting period, shall vest and remain outstanding following such Qualifying Termination and shall be earned and settled following the end of the applicable performance period based on the actual achievement of the applicable performance goals during the performance period in accordance with the applicable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6.02    Qualifying Termination during Covered Period.</w:t>
      </w:r>
      <w:r>
        <w:rPr>
          <w:rFonts w:ascii="Times New Roman" w:hAnsi="Times New Roman"/>
          <w:caps w:val="false"/>
          <w:smallCaps w:val="false"/>
          <w:sz w:val="20"/>
        </w:rPr>
        <w:t xml:space="preserve"> Notwithstanding the terms of the Company equity plan or plans under which a Participant's equity awards are granted or any applicable award agreements, if a Participant has a Qualifying Termination during the Covered Period, then, subject to ‎ARTICLE VII, in lieu of that provided in Section 6.01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all of the Participant's outstanding unvested time-based equity awards, if any, shall fully vest;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number of units subject to each of the Participant's outstanding equity awards with performance-based vesting, if any, shall fully vest upon such Qualifying Termination, be earned based on the greater of target performance or the actual achievement of the applicable performance goals measured as of the date of the Change in Control (as if such Change in Control were the end of the applicable performance period), and be settled within 60 days following such Qualifying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w:t>
      </w:r>
      <w:r>
        <w:rPr>
          <w:rFonts w:ascii="Times New Roman" w:hAnsi="Times New Roman"/>
          <w:caps w:val="false"/>
          <w:smallCaps w:val="false"/>
          <w:sz w:val="20"/>
        </w:rPr>
        <w:t xml:space="preserve"> </w:t>
        <w:br/>
      </w:r>
      <w:r>
        <w:rPr>
          <w:rFonts w:ascii="Times New Roman" w:hAnsi="Times New Roman"/>
          <w:b/>
          <w:caps w:val="false"/>
          <w:smallCaps w:val="false"/>
          <w:sz w:val="20"/>
        </w:rPr>
        <w:t>CONDITIONS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7.01    Conditions.</w:t>
      </w:r>
      <w:r>
        <w:rPr>
          <w:rFonts w:ascii="Times New Roman" w:hAnsi="Times New Roman"/>
          <w:caps w:val="false"/>
          <w:smallCaps w:val="false"/>
          <w:sz w:val="20"/>
        </w:rPr>
        <w:t xml:space="preserve"> A Participant's entitlement to any severance benefits or payments, excluding the Accrued Amounts, under ‎ARTICLE IV, ARTICLE V and ‎ARTICLE VI will be subject to the Participant executing a severance agreement (the "</w:t>
      </w:r>
      <w:r>
        <w:rPr>
          <w:rFonts w:ascii="Times New Roman" w:hAnsi="Times New Roman"/>
          <w:b/>
          <w:caps w:val="false"/>
          <w:smallCaps w:val="false"/>
          <w:sz w:val="20"/>
        </w:rPr>
        <w:t>Severance Agreement</w:t>
      </w:r>
      <w:r>
        <w:rPr>
          <w:rFonts w:ascii="Times New Roman" w:hAnsi="Times New Roman"/>
          <w:caps w:val="false"/>
          <w:smallCaps w:val="false"/>
          <w:sz w:val="20"/>
        </w:rPr>
        <w:t xml:space="preserve">") to the reasonable satisfaction of the Company and such Severance Agreement becoming effective and irrevocable within 60 days following the Participant's Qualifying Termination. Any such Severance Agreement will include, without limitation, (i) a release of claims in favor of the Company, its affiliates and their respective officers and directors; (ii) confidentiality, non-disparagement and further cooperation provisions; and (iii) non-solicitation and non-competition provisions no more restrictive than those set forth in </w:t>
      </w:r>
      <w:r>
        <w:rPr>
          <w:rFonts w:ascii="Times New Roman" w:hAnsi="Times New Roman"/>
          <w:caps w:val="false"/>
          <w:smallCaps w:val="false"/>
          <w:sz w:val="20"/>
          <w:u w:val="single"/>
        </w:rPr>
        <w:t>Appendix B</w:t>
      </w:r>
      <w:r>
        <w:rPr>
          <w:rFonts w:ascii="Times New Roman" w:hAnsi="Times New Roman"/>
          <w:caps w:val="false"/>
          <w:smallCaps w:val="false"/>
          <w:sz w:val="20"/>
        </w:rPr>
        <w:t xml:space="preserve"> hereto (and limited to the one-year period following the Qualifying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VIII</w:t>
      </w:r>
      <w:r>
        <w:rPr>
          <w:rFonts w:ascii="Times New Roman" w:hAnsi="Times New Roman"/>
          <w:caps w:val="false"/>
          <w:smallCaps w:val="false"/>
          <w:sz w:val="20"/>
        </w:rPr>
        <w:t xml:space="preserve"> </w:t>
        <w:br/>
      </w:r>
      <w:r>
        <w:rPr>
          <w:rFonts w:ascii="Times New Roman" w:hAnsi="Times New Roman"/>
          <w:b/>
          <w:caps w:val="false"/>
          <w:smallCaps w:val="false"/>
          <w:sz w:val="20"/>
        </w:rPr>
        <w:t>SECTION 280G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8.01    Reduction.</w:t>
      </w:r>
      <w:r>
        <w:rPr>
          <w:rFonts w:ascii="Times New Roman" w:hAnsi="Times New Roman"/>
          <w:caps w:val="false"/>
          <w:smallCaps w:val="false"/>
          <w:sz w:val="20"/>
        </w:rPr>
        <w:t xml:space="preserve"> Notwithstanding any other provision of the Plan or any other plan, arrangement or agreement to the contrary, if any of the payments or benefits provided or to be provided by the Company or its affiliates to a Participant or for a Participant's benefit pursuant to the terms of the Plan or otherwise ("</w:t>
      </w:r>
      <w:r>
        <w:rPr>
          <w:rFonts w:ascii="Times New Roman" w:hAnsi="Times New Roman"/>
          <w:b/>
          <w:caps w:val="false"/>
          <w:smallCaps w:val="false"/>
          <w:sz w:val="20"/>
        </w:rPr>
        <w:t>Covered Payments</w:t>
      </w:r>
      <w:r>
        <w:rPr>
          <w:rFonts w:ascii="Times New Roman" w:hAnsi="Times New Roman"/>
          <w:caps w:val="false"/>
          <w:smallCaps w:val="false"/>
          <w:sz w:val="20"/>
        </w:rPr>
        <w:t>") constitute parachute payments ("</w:t>
      </w:r>
      <w:r>
        <w:rPr>
          <w:rFonts w:ascii="Times New Roman" w:hAnsi="Times New Roman"/>
          <w:b/>
          <w:caps w:val="false"/>
          <w:smallCaps w:val="false"/>
          <w:sz w:val="20"/>
        </w:rPr>
        <w:t>Parachute Payments</w:t>
      </w:r>
      <w:r>
        <w:rPr>
          <w:rFonts w:ascii="Times New Roman" w:hAnsi="Times New Roman"/>
          <w:caps w:val="false"/>
          <w:smallCaps w:val="false"/>
          <w:sz w:val="20"/>
        </w:rPr>
        <w:t>") within the meaning of Section 280G of the Code and would, but for this ‎ARTICLE VIII, be subject to the excise tax imposed under Section 4999 of the Code (or any successor provision thereto) or any similar tax imposed by state or local law or any interest or penalties with respect to such taxes (collectively, the "</w:t>
      </w:r>
      <w:r>
        <w:rPr>
          <w:rFonts w:ascii="Times New Roman" w:hAnsi="Times New Roman"/>
          <w:b/>
          <w:caps w:val="false"/>
          <w:smallCaps w:val="false"/>
          <w:sz w:val="20"/>
        </w:rPr>
        <w:t>Excise Tax</w:t>
      </w:r>
      <w:r>
        <w:rPr>
          <w:rFonts w:ascii="Times New Roman" w:hAnsi="Times New Roman"/>
          <w:caps w:val="false"/>
          <w:smallCaps w:val="false"/>
          <w:sz w:val="20"/>
        </w:rPr>
        <w:t>"), then the Covered Payments shall be either: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reduced to the minimum extent necessary to ensure that no portion of the Covered Payments is subject to the Excise Tax (that amount, the "</w:t>
      </w:r>
      <w:r>
        <w:rPr>
          <w:rFonts w:ascii="Times New Roman" w:hAnsi="Times New Roman"/>
          <w:b/>
          <w:caps w:val="false"/>
          <w:smallCaps w:val="false"/>
          <w:sz w:val="20"/>
        </w:rPr>
        <w:t>Reduced Amount</w:t>
      </w:r>
      <w:r>
        <w:rPr>
          <w:rFonts w:ascii="Times New Roman" w:hAnsi="Times New Roman"/>
          <w:caps w:val="false"/>
          <w:smallCaps w:val="false"/>
          <w:sz w:val="20"/>
        </w:rPr>
        <w: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payable in full if the Participant's receipt on an after-tax basis of the full amount of payments and benefits (after taking into account the applicable federal, state, local and foreign income, employment and excise taxes (including the Excise Tax)) would result in the Participant receiving an amount greater than the Reduced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8.02    Order of Reduction.</w:t>
      </w:r>
      <w:r>
        <w:rPr>
          <w:rFonts w:ascii="Times New Roman" w:hAnsi="Times New Roman"/>
          <w:caps w:val="false"/>
          <w:smallCaps w:val="false"/>
          <w:sz w:val="20"/>
        </w:rPr>
        <w:t xml:space="preserve"> The Covered Payments shall be reduced in a manner that maximizes the Participant's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8.03    Determinations.</w:t>
      </w:r>
      <w:r>
        <w:rPr>
          <w:rFonts w:ascii="Times New Roman" w:hAnsi="Times New Roman"/>
          <w:caps w:val="false"/>
          <w:smallCaps w:val="false"/>
          <w:sz w:val="20"/>
        </w:rPr>
        <w:t xml:space="preserve"> Any determination required under this ‎ARTICLE VIII shall be made in writing in good faith by an independent accounting firm selected by the Administrator (the "</w:t>
      </w:r>
      <w:r>
        <w:rPr>
          <w:rFonts w:ascii="Times New Roman" w:hAnsi="Times New Roman"/>
          <w:b/>
          <w:caps w:val="false"/>
          <w:smallCaps w:val="false"/>
          <w:sz w:val="20"/>
        </w:rPr>
        <w:t>Accountants</w:t>
      </w:r>
      <w:r>
        <w:rPr>
          <w:rFonts w:ascii="Times New Roman" w:hAnsi="Times New Roman"/>
          <w:caps w:val="false"/>
          <w:smallCaps w:val="false"/>
          <w:sz w:val="20"/>
        </w:rPr>
        <w:t>"), which shall provide detailed supporting calculations to the Company and the Participant as requested by the Company or the Participant. The Company and the Participant shall provide the Accountants with such information and documents as the Accountants may reasonably request in order to make a determination under this ‎ARTICLE VIII. For purposes of making the calculations and determinations required by this ‎ARTICLE VIII, the Accountants may rely on reasonable, good faith assumptions and approximations concerning the application of Section 280G and Section 4999 of the Code. The Accountants' determinations shall be final and binding on the Company and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IX</w:t>
      </w:r>
      <w:r>
        <w:rPr>
          <w:rFonts w:ascii="Times New Roman" w:hAnsi="Times New Roman"/>
          <w:caps w:val="false"/>
          <w:smallCaps w:val="false"/>
          <w:sz w:val="20"/>
        </w:rPr>
        <w:t xml:space="preserve"> </w:t>
        <w:br/>
      </w:r>
      <w:r>
        <w:rPr>
          <w:rFonts w:ascii="Times New Roman" w:hAnsi="Times New Roman"/>
          <w:b/>
          <w:caps w:val="false"/>
          <w:smallCaps w:val="false"/>
          <w:sz w:val="20"/>
        </w:rPr>
        <w:t>CLAIMS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9.01    Initial Claims.</w:t>
      </w:r>
      <w:r>
        <w:rPr>
          <w:rFonts w:ascii="Times New Roman" w:hAnsi="Times New Roman"/>
          <w:caps w:val="false"/>
          <w:smallCaps w:val="false"/>
          <w:sz w:val="20"/>
        </w:rPr>
        <w:t xml:space="preserve"> A Participant who believes that they are eligible for a payment under the Plan that has not been received may submit a written claim for benefits to the Plan within 60 days after the Participant's Qualifying Termination. Claims should be addressed and sent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Dorchester Minerals,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Attn: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3838 Oak Lawn Ave, Suite 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Dallas, TX 75219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Participant's claim is denied, in whole or in part, the Participant will be furnished with written notice of the denial within 90 days after the Administrator's receipt of the Participant's written claim, unless special circumstances require an extension of time for processing the claim, in which case a period not to exceed 180 days will apply. If such an extension of time is required, written notice of the extension will be furnished to the Participant before the termination of the initial 90-day period and will describe the special circumstances requiring the extension, and the date on which a decision is expected to be rendered. Written notice of the denial of the Participant's claim will contain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specific reason or reasons for the denial of the Participant's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references to the specific Plan provisions on which the denial of the Participant's claim was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a description of any additional information or material required by the Administrator to reconsider the Participant's claim (to the extent applicable) and an explanation of why such material or information is necessary;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a description of the Plan's review procedures and time limits applicable to such procedures, including a statement of the Participant's right to bring a civil action under Section 502(a) of ERISA following a benefit claim denial on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9.02    Appeal of Denied Claims.</w:t>
      </w:r>
      <w:r>
        <w:rPr>
          <w:rFonts w:ascii="Times New Roman" w:hAnsi="Times New Roman"/>
          <w:caps w:val="false"/>
          <w:smallCaps w:val="false"/>
          <w:sz w:val="20"/>
        </w:rPr>
        <w:t xml:space="preserve"> If the Participant's claim is denied and they wish to submit a request for a review of the denied claim, the Participant or their authorized representative must follow the procedures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Upon receipt of the denied claim, the Participant (or their authorized representative) may file a request for review of the claim in writing with the Administrator. This request for review must be filed no later than 60 days after the Participant has received written notification of the denial.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Participant has the right to submit in writing to the Administrator any comments, documents, records or other information relating to their claim for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The Participant has the right to be provided with, upon request and free of charge, reasonable access to and copies of all pertinent documents, records and other information that is relevant to their claim for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The review of the denied claim will take into account all comments, documents, records and other information that the Participant submitted relating to their claim, without regard to whether such information was submitted or considered in the initial denial of their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9.03    Administrator's Response to Appeal.</w:t>
      </w:r>
      <w:r>
        <w:rPr>
          <w:rFonts w:ascii="Times New Roman" w:hAnsi="Times New Roman"/>
          <w:caps w:val="false"/>
          <w:smallCaps w:val="false"/>
          <w:sz w:val="20"/>
        </w:rPr>
        <w:t xml:space="preserve"> The Administrator will provide the Participant with written notice of its decision within 60 days after the Administrator's receipt of the Participant's written claim for review. There may be special circumstances which require an extension of this 60-day period. In any such case, the Administrator will notify the Participant in writing within the 60-day period and the final decision will be made no later than 120 days after the Administrator's receipt of the Participant's written claim for review. The Administrator's decision on the Participant's claim for review will be communicated to the Participant in writing and will clearly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specific reason or reasons for the denial of the Participant's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reference to the specific Plan provisions on which the denial of the Participant's claim is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a statement that the Participant is entitled to receive, upon request and free of charge, reasonable access to, and copies of, the Plan and all documents, records, and other information relevant to their claim for benefits;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a statement describing the Participant's right to bring an action under Section 502(a)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9.04    Exhaustion of Administrative Remedies.</w:t>
      </w:r>
      <w:r>
        <w:rPr>
          <w:rFonts w:ascii="Times New Roman" w:hAnsi="Times New Roman"/>
          <w:caps w:val="false"/>
          <w:smallCaps w:val="false"/>
          <w:sz w:val="20"/>
        </w:rPr>
        <w:t xml:space="preserve"> The exhaustion of these claims procedures is mandatory for resolving every claim and dispute arising under the Plan. As to such claims and disputes: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no claimant shall be permitted to commence any legal action to recover benefits or to enforce or clarify rights under the Plan under Section 502 or Section 510 of ERISA or under any other provision of law, whether or not statutory, until these claims procedures have been exhausted in their entirety;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in any such legal action, all explicit and implicit determinations by the Administrator (including, but not limited to, determinations as to whether the claim, or a request for a review of a denied claim, was timely filed) shall be afforded the maximum deference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9.05    Arbitration.</w:t>
      </w:r>
      <w:r>
        <w:rPr>
          <w:rFonts w:ascii="Times New Roman" w:hAnsi="Times New Roman"/>
          <w:caps w:val="false"/>
          <w:smallCaps w:val="false"/>
          <w:sz w:val="20"/>
        </w:rPr>
        <w:t xml:space="preserve"> Subject to ‎Section 9.04, any dispute, controversy or claim arising out of or related to the Plan shall be submitted to and decided by binding arbitration. Arbitration shall be administered exclusively by American Arbitration Association and shall be conducted consistent with the rules, regulations and requirements thereof as well as any requirements imposed by state law. Any arbitral award determination shall be final and binding.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9.06    Attorney's Fees.</w:t>
      </w:r>
      <w:r>
        <w:rPr>
          <w:rFonts w:ascii="Times New Roman" w:hAnsi="Times New Roman"/>
          <w:caps w:val="false"/>
          <w:smallCaps w:val="false"/>
          <w:sz w:val="20"/>
        </w:rPr>
        <w:t xml:space="preserve"> The Company and each Participant shall bear their own attorneys' fees incurred in connection with any disputes between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w:t>
      </w:r>
      <w:r>
        <w:rPr>
          <w:rFonts w:ascii="Times New Roman" w:hAnsi="Times New Roman"/>
          <w:caps w:val="false"/>
          <w:smallCaps w:val="false"/>
          <w:sz w:val="20"/>
        </w:rPr>
        <w:t xml:space="preserve"> </w:t>
        <w:br/>
      </w:r>
      <w:r>
        <w:rPr>
          <w:rFonts w:ascii="Times New Roman" w:hAnsi="Times New Roman"/>
          <w:b/>
          <w:caps w:val="false"/>
          <w:smallCaps w:val="false"/>
          <w:sz w:val="20"/>
        </w:rPr>
        <w:t>ADMINISTRATION, AMENDMENT AND TERMINATION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10.01  Administration.</w:t>
      </w:r>
      <w:r>
        <w:rPr>
          <w:rFonts w:ascii="Times New Roman" w:hAnsi="Times New Roman"/>
          <w:caps w:val="false"/>
          <w:smallCaps w:val="false"/>
          <w:sz w:val="20"/>
        </w:rPr>
        <w:t xml:space="preserve"> The Administrator has the exclusive right, power and authority, in its sole and absolute discretion, to administer and interpret the Plan. The Administrator has all powers reasonably necessary to carry out its responsibilities under the Plan including (but not limited to) the sole and absolute discretionary authority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administer the Plan according to its terms and to interpret Plan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resolve and clarify inconsistencies, ambiguities, and omissions in the Plan and among and between the Plan and other related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take all actions and make all decisions regarding questions of eligibility for benefits, and benefit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make, amend, interpret, and enforce all appropriate rules and regulations for the administration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process and approve or deny all [initial] claims for benefits;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      decide or resolve any and all questions, including benefit eligibility determinations and interpretations of the Plan, as may arise in connection with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decision of the Administrator on any disputes arising under the Plan, including (but not limited to) questions of construction, interpretation and administration shall be final, conclusive and binding on all persons having an interest in or under the Plan. Any determination made by the Administrator shall be given deference in the event the determination is subject to judicial review and shall be overturned by a court of law only if it is arbitrary and capricious.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10.02  Amendment and Termination.</w:t>
      </w:r>
      <w:r>
        <w:rPr>
          <w:rFonts w:ascii="Times New Roman" w:hAnsi="Times New Roman"/>
          <w:caps w:val="false"/>
          <w:smallCaps w:val="false"/>
          <w:sz w:val="20"/>
        </w:rPr>
        <w:t xml:space="preserve"> The Board reserves the right to amend or terminate the Plan at any time, by providing at least 90 days' advance written notice to each Participant; provided, however, that during the Covered Period no such amendment or termination that has the effect of reducing or diminishing the right of any Participant will be effective without the written consent of such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XI</w:t>
      </w:r>
      <w:r>
        <w:rPr>
          <w:rFonts w:ascii="Times New Roman" w:hAnsi="Times New Roman"/>
          <w:caps w:val="false"/>
          <w:smallCaps w:val="false"/>
          <w:sz w:val="20"/>
        </w:rPr>
        <w:t xml:space="preserve"> </w:t>
        <w:br/>
      </w:r>
      <w:r>
        <w:rPr>
          <w:rFonts w:ascii="Times New Roman" w:hAnsi="Times New Roman"/>
          <w:b/>
          <w:caps w:val="false"/>
          <w:smallCaps w:val="false"/>
          <w:sz w:val="20"/>
        </w:rPr>
        <w:t>GENERAL PROVISIONS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11.01  At-Will Employment.</w:t>
      </w:r>
      <w:r>
        <w:rPr>
          <w:rFonts w:ascii="Times New Roman" w:hAnsi="Times New Roman"/>
          <w:caps w:val="false"/>
          <w:smallCaps w:val="false"/>
          <w:sz w:val="20"/>
        </w:rPr>
        <w:t xml:space="preserve"> The Plan does not alter the status of each Participant as an at-will employee of the Company. Nothing contained herein shall be deemed to give any Participant the right to remain employed by the Company or to interfere with the rights of the Company to terminate the employment of any Participant at any time, with or without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11.02  Effect on Other Plans, Agreements, and Benefits.</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Any severance benefits payable to a Participant under the Plan will be: (i) in lieu of and not in addition to any severance benefits to which the Participant would otherwise be entitled under any general severance policy or severance plan maintained by the Company or any agreement between the Participant and the Company that provides for severance benefits (unless the policy, plan, or agreement expressly provides for severance benefits to be in addition to those provided under the Plan); and (ii) any severance benefits payable to a Participant under the Plan will be reduced by any severance benefits to which the Participant is entitled by operation of a statute or government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Any severance benefits payable to a Participant under the Plan will not be counted as compensation for purposes of determining benefits under any other benefit policies or plans of the Company, except to the extent expressly provided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11.03  Mitigation and Offset.</w:t>
      </w:r>
      <w:r>
        <w:rPr>
          <w:rFonts w:ascii="Times New Roman" w:hAnsi="Times New Roman"/>
          <w:caps w:val="false"/>
          <w:smallCaps w:val="false"/>
          <w:sz w:val="20"/>
        </w:rPr>
        <w:t xml:space="preserve"> If a Participant obtains other employment after a Qualifying Termination, such other employment will not affect the Participant's rights or the Company's obligations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may reduce the amount of any severance benefits otherwise payable to or on behalf of a Participant by the amount of any obligation of the Participant to the Company, and the Participant shall be deemed to have consented to such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11.04  Severability.</w:t>
      </w:r>
      <w:r>
        <w:rPr>
          <w:rFonts w:ascii="Times New Roman" w:hAnsi="Times New Roman"/>
          <w:caps w:val="false"/>
          <w:smallCaps w:val="false"/>
          <w:sz w:val="20"/>
        </w:rPr>
        <w:t xml:space="preserve"> The invalidity or unenforceability of any provision of the Plan shall not affect the validity or enforceability of any other provision of the Plan. If any provision of the Plan is held by a court of competent jurisdiction to be illegal, invalid, void or unenforceable, such provision shall be deemed modified, amended and narrowed to the extent necessary to render such provision legal, valid, and enforceable, and the other remaining provisions of the Plan shall not be affected but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11.05  Headings and Subheadings.</w:t>
      </w:r>
      <w:r>
        <w:rPr>
          <w:rFonts w:ascii="Times New Roman" w:hAnsi="Times New Roman"/>
          <w:caps w:val="false"/>
          <w:smallCaps w:val="false"/>
          <w:sz w:val="20"/>
        </w:rPr>
        <w:t xml:space="preserve"> Headings and subheadings contained in the Plan are intended solely for convenience and no provision of the Plan is to be construed by reference to the heading or subheading of any section or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11.06  Unfunded Obligations.</w:t>
      </w:r>
      <w:r>
        <w:rPr>
          <w:rFonts w:ascii="Times New Roman" w:hAnsi="Times New Roman"/>
          <w:caps w:val="false"/>
          <w:smallCaps w:val="false"/>
          <w:sz w:val="20"/>
        </w:rPr>
        <w:t xml:space="preserve"> The amounts to be paid to Participants under the Plan are unfunded obligations of the Company. The Company is not required to segregate any monies or other assets from its general funds with respect to these obligations. Participants shall not have any preference or security interest in any assets of the Company other than as a general unsecured creditor.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11.07  Successors.</w:t>
      </w:r>
      <w:r>
        <w:rPr>
          <w:rFonts w:ascii="Times New Roman" w:hAnsi="Times New Roman"/>
          <w:caps w:val="false"/>
          <w:smallCaps w:val="false"/>
          <w:sz w:val="20"/>
        </w:rPr>
        <w:t xml:space="preserve"> The Plan will be binding upon any successor to the Company, its assets, its businesses or its interest, in the same manner and to the same extent that the Company would be obligated under the Plan if no succession had taken place. In the case of any transaction in which a successor would not by the foregoing provision or by operation of law be bound by the Plan, the Company shall require any successor to the Company to expressly and unconditionally assume the Plan in writing and honor the obligations of the Company hereunder, in the same manner and to the same extent that the Company would be required to perform if no succession had taken place. All payments and benefits that become due to a Participant under the Plan will inure to the benefit of his or her heirs, assigns, designees, or legal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11.08  Transfer and Assignment.</w:t>
      </w:r>
      <w:r>
        <w:rPr>
          <w:rFonts w:ascii="Times New Roman" w:hAnsi="Times New Roman"/>
          <w:caps w:val="false"/>
          <w:smallCaps w:val="false"/>
          <w:sz w:val="20"/>
        </w:rPr>
        <w:t xml:space="preserve"> Neither a Participant nor any other person shall have any right to sell, assign, transfer, pledge, anticipate or otherwise encumber, transfer, hypothecate or convey any amounts payable under the Plan prior to the date that such amounts are paid, except that, in the case of a Participant's death, such amounts shall be paid to the Participant's beneficiaries.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11.09  Waiver.</w:t>
      </w:r>
      <w:r>
        <w:rPr>
          <w:rFonts w:ascii="Times New Roman" w:hAnsi="Times New Roman"/>
          <w:caps w:val="false"/>
          <w:smallCaps w:val="false"/>
          <w:sz w:val="20"/>
        </w:rPr>
        <w:t xml:space="preserve"> Any party's failure to enforce any provision or provisions of the Plan will not in any way be construed as a waiver of any such provision or provisions, nor prevent any party from thereafter enforcing each and every other provision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11.10  Governing Law.</w:t>
      </w:r>
      <w:r>
        <w:rPr>
          <w:rFonts w:ascii="Times New Roman" w:hAnsi="Times New Roman"/>
          <w:caps w:val="false"/>
          <w:smallCaps w:val="false"/>
          <w:sz w:val="20"/>
        </w:rPr>
        <w:t xml:space="preserve"> To the extent not pre-empted by federal law, the Plan shall be construed in accordance with and governed by the laws of Delaware without regard to conflicts of law principles. Subject to ‎Section 9.05, any action or proceeding to enforce the provisions of the Plan will be brought only in a state or federal court located in the state of Texas, county of Dallas, and each party consents to the venue and jurisdiction of such court. The parties hereby irrevocably submit to the non-exclusive jurisdiction of such courts and waive the defense of inconvenient forum to the maintenance of any such action or proceeding in such 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11.11  Clawback.</w:t>
      </w:r>
      <w:r>
        <w:rPr>
          <w:rFonts w:ascii="Times New Roman" w:hAnsi="Times New Roman"/>
          <w:caps w:val="false"/>
          <w:smallCaps w:val="false"/>
          <w:sz w:val="20"/>
        </w:rPr>
        <w:t xml:space="preserve"> Any amounts payable under the Plan are subject to any policy (whether in existence as of the Effective Date or later adopted) established by the Board providing for clawback or recovery of amounts that were paid to the Participant. The Board will make any determination for clawback or recovery in its sole discretion and in accordance with any applicable law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11.12  Withholding.</w:t>
      </w:r>
      <w:r>
        <w:rPr>
          <w:rFonts w:ascii="Times New Roman" w:hAnsi="Times New Roman"/>
          <w:caps w:val="false"/>
          <w:smallCaps w:val="false"/>
          <w:sz w:val="20"/>
        </w:rPr>
        <w:t xml:space="preserve"> The Company shall have the right to withhold from any amount payable hereunder any Federal, state, and local taxes in order for the Company to satisfy any withholding tax obligation it may have under any applicable law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11.13  Section 409A.</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Plan is intended to comply with Section 409A of the Code or an exemption thereunder and shall be construed and administered in accordance with Section 409A of the Code. Notwithstanding any other provision of the Plan, payments provided under the Plan may only be made upon an event and in a manner that complies with Section 409A of the Code or an applicable exemption. Any payments under the Plan that may be excluded from Section 409A of the Code either as separation pay due to an involuntary separation from service or as a short-term deferral shall be excluded from Section 409A of the Code to the maximum extent possible. For purposes of Section 409A of the Code, each installment payment provided under the Plan shall be treated as a separate payment. Any payments to be made under the Plan upon a termination of employment shall only be made upon a "separation from service" under Section 409A of the Code. Notwithstanding the foregoing, the Company makes no representations that the payments and benefits provided under the Plan comply with Section 409A of the Code and in no event shall the Company be liable for all or any portion of any taxes, penalties, interest, or other expenses that may be incurred by a Participant on account of non-compliance with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Notwithstanding any other provision of the Plan, if any payment or benefit provided to a Participant in connection with his or her Qualifying Termination is determined to constitute "nonqualified deferred compensation" within the meaning of Section 409A of the Code and the Participant is determined to be a "specified employee" as defined in Section 409A(a)(2)(b)(i) of the Code, then such payment or benefit shall not be paid until the first payroll date to occur following the six-month anniversary of the Qualifying Termination or, if earlier, on the Participant's death (the "</w:t>
      </w:r>
      <w:r>
        <w:rPr>
          <w:rFonts w:ascii="Times New Roman" w:hAnsi="Times New Roman"/>
          <w:b/>
          <w:caps w:val="false"/>
          <w:smallCaps w:val="false"/>
          <w:sz w:val="20"/>
        </w:rPr>
        <w:t>Specified Employee Payment Date</w:t>
      </w:r>
      <w:r>
        <w:rPr>
          <w:rFonts w:ascii="Times New Roman" w:hAnsi="Times New Roman"/>
          <w:caps w:val="false"/>
          <w:smallCaps w:val="false"/>
          <w:sz w:val="20"/>
        </w:rPr>
        <w:t>"). The aggregate of any payments that would otherwise have been paid before the Specified Employee Payment Date shall be paid to the Participant in a lump sum on the Specified Employee Payment Date and thereafter, any remaining payments shall be paid without delay in accordance with their original schedule. Notwithstanding any other provision of the Plan, if any payment or benefit is conditioned on the Participant's execution of a Severance Agreement, the first payment shall include all amounts that would otherwise have been paid to the Participant during the period beginning on the date of the Qualifying Termination and ending on the payment date if no delay had been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To the extent required by Section 409A of the Code, each reimbursement or in-kind benefit provided under the Plan shall be provided in accordance with the following: (i) the amount of expenses eligible for reimbursement, or in-kind benefits provided, during each calendar year cannot affect the expenses eligible for reimbursement, or in-kind benefits to be provided, in any other calendar year; and (ii) any right to reimbursements or in-kind benefits under the Plan shall not be subject to liquidation or exchange for another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APPENDIX 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PARTICIPANTS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Ehrman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Leslie Moriyama</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APPENDIX 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NON-SOLICIT AND NON-COMPETE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Non-Competition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the Employer Group's legitimate business interest as described in this Agreement and the good and valuable consideration offered to the Employee, [for the remainder of the Employee's employment with the Employer Group and] for a term of twelve (12) months, to run consecutively, beginning on the Separation Date, the Employee agrees and covenants not to engage in any Competitive Activity within the (i) the states of Colorado, Texas, New Mexico and North Dakota, and (ii) any other state in which the Company holds minerals, royalties, overriding royalty interests or net profits interests that, as of the Participant's Termination Date, represent at least 10% of the total proved reserve value of all minerals, royalties, overriding royalty interests or net profits interests that are held by the Company, as reflected in the Company's most recently available independent reserve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purposes of this non-compete clause, "Competitive Activity" means to, directly or indirectly, in whole or in part, engage in, provide services to, or otherwise participate in, whether as an employee, employer, owner, operator, manager, advisor, consultant, agent, partner, director, stockholder, officer, volunteer, intern, or any other similar capacity, any entity engaged in a business that is competitive with the business of the Employer Group, including the acquisition, ownership, and administration of producing and nonproducing mineral, royalty, overriding royalty and net profits interests. Without limiting the foregoing, Competitive Activity also includes activity that may require or inevitably require the Employee's disclosure of trade secrets, proprietary information, or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Nothing in this Agreement prohibits the Employee from purchasing or owning less than five percent (5%) of the publicly traded securities of any corporation, provided that the Employee's ownership represents a passive investment and that the Employee is not a controlling person of, or a member of a group that controls,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Non-Solicitation of Employees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Employee understands and acknowledges that the Employer has expended and continues to expend significant time and expense in recruiting and training its employees and that the loss of employees would cause significant and irreparable harm to the Employer. The Employee agrees and covenants not to directly or indirectly solicit, hire, recruit, attempt to hire or recruit, or induce the termination of employment of any employee of the Employer Group [for the remainder of the Employee's employment with the Employer Group and] for a term of twelve (12) months, to run consecutively, beginning on the Separation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15</w:t>
      </w:r>
    </w:p>
    <w:p>
      <w:pPr>
        <w:pStyle w:val="TextBody"/>
        <w:bidi w:val="0"/>
        <w:spacing w:before="0" w:after="0"/>
        <w:ind w:left="0" w:right="0" w:hanging="0"/>
        <w:jc w:val="right"/>
        <w:rPr>
          <w:rFonts w:ascii="Times New Roman;Times;serif" w:hAnsi="Times New Roman;Times;serif"/>
          <w:b/>
          <w:sz w:val="20"/>
        </w:rPr>
      </w:pPr>
      <w:bookmarkStart w:id="4" w:name="ex_1000630.htm"/>
      <w:bookmarkStart w:id="5" w:name="ksex_1000630"/>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2990"/>
        <w:gridCol w:w="4280"/>
      </w:tblGrid>
      <w:tr>
        <w:trPr/>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40"/>
              </w:rPr>
            </w:pPr>
            <w:r>
              <w:rPr>
                <w:rFonts w:ascii="Times New Roman" w:hAnsi="Times New Roman"/>
                <w:caps w:val="false"/>
                <w:smallCaps w:val="false"/>
                <w:sz w:val="40"/>
              </w:rPr>
              <w:t>NEWS RELEASE</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40"/>
              </w:rPr>
            </w:pPr>
            <w:r>
              <w:rPr>
                <w:rFonts w:ascii="Times New Roman" w:hAnsi="Times New Roman"/>
                <w:caps w:val="false"/>
                <w:smallCaps w:val="false"/>
                <w:sz w:val="40"/>
              </w:rPr>
              <w:t>Dorchester Minerals, L.P.</w:t>
            </w:r>
          </w:p>
        </w:tc>
      </w:tr>
    </w:tbl>
    <w:p>
      <w:pPr>
        <w:pStyle w:val="TextBody"/>
        <w:bidi w:val="0"/>
        <w:spacing w:before="0" w:after="0"/>
        <w:ind w:left="0" w:right="0" w:hanging="0"/>
        <w:jc w:val="left"/>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1295"/>
        <w:gridCol w:w="1475"/>
        <w:gridCol w:w="3050"/>
      </w:tblGrid>
      <w:tr>
        <w:trPr/>
        <w:tc>
          <w:tcPr>
            <w:tcW w:w="1295" w:type="dxa"/>
            <w:tcBorders/>
            <w:vAlign w:val="center"/>
          </w:tcPr>
          <w:p>
            <w:pPr>
              <w:pStyle w:val="TableContents"/>
              <w:bidi w:val="0"/>
              <w:spacing w:before="0" w:after="0"/>
              <w:ind w:left="0" w:right="0" w:hanging="0"/>
              <w:jc w:val="left"/>
              <w:rPr>
                <w:rFonts w:ascii="Times New Roman" w:hAnsi="Times New Roman"/>
                <w:caps w:val="false"/>
                <w:smallCaps w:val="false"/>
                <w:sz w:val="22"/>
              </w:rPr>
            </w:pPr>
            <w:r>
              <w:rPr>
                <w:rFonts w:ascii="Times New Roman" w:hAnsi="Times New Roman"/>
                <w:caps w:val="false"/>
                <w:smallCaps w:val="false"/>
                <w:sz w:val="22"/>
              </w:rPr>
              <w:t>Release Date:</w:t>
            </w:r>
          </w:p>
        </w:tc>
        <w:tc>
          <w:tcPr>
            <w:tcW w:w="1475" w:type="dxa"/>
            <w:tcBorders/>
            <w:vAlign w:val="center"/>
          </w:tcPr>
          <w:p>
            <w:pPr>
              <w:pStyle w:val="TableContents"/>
              <w:bidi w:val="0"/>
              <w:spacing w:before="0" w:after="0"/>
              <w:ind w:left="0" w:right="0" w:hanging="0"/>
              <w:jc w:val="left"/>
              <w:rPr>
                <w:rFonts w:ascii="Times New Roman" w:hAnsi="Times New Roman"/>
                <w:caps w:val="false"/>
                <w:smallCaps w:val="false"/>
                <w:sz w:val="22"/>
              </w:rPr>
            </w:pPr>
            <w:r>
              <w:rPr>
                <w:rFonts w:ascii="Times New Roman" w:hAnsi="Times New Roman"/>
                <w:caps w:val="false"/>
                <w:smallCaps w:val="false"/>
                <w:sz w:val="22"/>
              </w:rPr>
              <w:t>August 6, 2026</w:t>
            </w:r>
          </w:p>
        </w:tc>
        <w:tc>
          <w:tcPr>
            <w:tcW w:w="3050" w:type="dxa"/>
            <w:tcBorders/>
            <w:vAlign w:val="center"/>
          </w:tcPr>
          <w:p>
            <w:pPr>
              <w:pStyle w:val="TableContents"/>
              <w:bidi w:val="0"/>
              <w:spacing w:before="0" w:after="0"/>
              <w:ind w:left="0" w:right="0" w:hanging="0"/>
              <w:jc w:val="left"/>
              <w:rPr>
                <w:rFonts w:ascii="Times New Roman" w:hAnsi="Times New Roman"/>
                <w:caps w:val="false"/>
                <w:smallCaps w:val="false"/>
                <w:sz w:val="22"/>
              </w:rPr>
            </w:pPr>
            <w:r>
              <w:rPr>
                <w:rFonts w:ascii="Times New Roman" w:hAnsi="Times New Roman"/>
                <w:caps w:val="false"/>
                <w:smallCaps w:val="false"/>
                <w:sz w:val="22"/>
              </w:rPr>
              <w:t>3838 Oak Lawn Ave., Suite 300</w:t>
            </w:r>
          </w:p>
        </w:tc>
      </w:tr>
      <w:tr>
        <w:trPr/>
        <w:tc>
          <w:tcPr>
            <w:tcW w:w="1295" w:type="dxa"/>
            <w:tcBorders/>
            <w:vAlign w:val="center"/>
          </w:tcPr>
          <w:p>
            <w:pPr>
              <w:pStyle w:val="TableContents"/>
              <w:bidi w:val="0"/>
              <w:spacing w:before="0" w:after="0"/>
              <w:ind w:left="0" w:right="0" w:hanging="0"/>
              <w:jc w:val="left"/>
              <w:rPr/>
            </w:pPr>
            <w:r>
              <w:rPr/>
              <w:t> </w:t>
            </w:r>
          </w:p>
        </w:tc>
        <w:tc>
          <w:tcPr>
            <w:tcW w:w="1475" w:type="dxa"/>
            <w:tcBorders/>
            <w:vAlign w:val="center"/>
          </w:tcPr>
          <w:p>
            <w:pPr>
              <w:pStyle w:val="TableContents"/>
              <w:bidi w:val="0"/>
              <w:spacing w:before="0" w:after="0"/>
              <w:ind w:left="0" w:right="0" w:hanging="0"/>
              <w:jc w:val="left"/>
              <w:rPr/>
            </w:pPr>
            <w:r>
              <w:rPr/>
              <w:t> </w:t>
            </w:r>
          </w:p>
        </w:tc>
        <w:tc>
          <w:tcPr>
            <w:tcW w:w="3050" w:type="dxa"/>
            <w:tcBorders/>
            <w:vAlign w:val="center"/>
          </w:tcPr>
          <w:p>
            <w:pPr>
              <w:pStyle w:val="TableContents"/>
              <w:bidi w:val="0"/>
              <w:spacing w:before="0" w:after="0"/>
              <w:ind w:left="0" w:right="0" w:hanging="0"/>
              <w:jc w:val="left"/>
              <w:rPr>
                <w:rFonts w:ascii="Times New Roman" w:hAnsi="Times New Roman"/>
                <w:caps w:val="false"/>
                <w:smallCaps w:val="false"/>
                <w:sz w:val="22"/>
              </w:rPr>
            </w:pPr>
            <w:r>
              <w:rPr>
                <w:rFonts w:ascii="Times New Roman" w:hAnsi="Times New Roman"/>
                <w:caps w:val="false"/>
                <w:smallCaps w:val="false"/>
                <w:sz w:val="22"/>
              </w:rPr>
              <w:t>Dallas, Texas 75219-4541</w:t>
            </w:r>
          </w:p>
        </w:tc>
      </w:tr>
      <w:tr>
        <w:trPr/>
        <w:tc>
          <w:tcPr>
            <w:tcW w:w="1295" w:type="dxa"/>
            <w:tcBorders/>
            <w:vAlign w:val="center"/>
          </w:tcPr>
          <w:p>
            <w:pPr>
              <w:pStyle w:val="TableContents"/>
              <w:bidi w:val="0"/>
              <w:spacing w:before="0" w:after="0"/>
              <w:ind w:left="0" w:right="0" w:hanging="0"/>
              <w:jc w:val="left"/>
              <w:rPr>
                <w:rFonts w:ascii="Times New Roman" w:hAnsi="Times New Roman"/>
                <w:caps w:val="false"/>
                <w:smallCaps w:val="false"/>
                <w:sz w:val="22"/>
              </w:rPr>
            </w:pPr>
            <w:r>
              <w:rPr>
                <w:rFonts w:ascii="Times New Roman" w:hAnsi="Times New Roman"/>
                <w:caps w:val="false"/>
                <w:smallCaps w:val="false"/>
                <w:sz w:val="22"/>
              </w:rPr>
              <w:t>Contact:</w:t>
            </w:r>
          </w:p>
        </w:tc>
        <w:tc>
          <w:tcPr>
            <w:tcW w:w="1475" w:type="dxa"/>
            <w:tcBorders/>
            <w:vAlign w:val="center"/>
          </w:tcPr>
          <w:p>
            <w:pPr>
              <w:pStyle w:val="TableContents"/>
              <w:bidi w:val="0"/>
              <w:spacing w:before="0" w:after="0"/>
              <w:ind w:left="0" w:right="0" w:hanging="0"/>
              <w:jc w:val="left"/>
              <w:rPr>
                <w:rFonts w:ascii="Times New Roman" w:hAnsi="Times New Roman"/>
                <w:caps w:val="false"/>
                <w:smallCaps w:val="false"/>
                <w:sz w:val="22"/>
              </w:rPr>
            </w:pPr>
            <w:r>
              <w:rPr>
                <w:rFonts w:ascii="Times New Roman" w:hAnsi="Times New Roman"/>
                <w:caps w:val="false"/>
                <w:smallCaps w:val="false"/>
                <w:sz w:val="22"/>
              </w:rPr>
              <w:t>Martye Miller</w:t>
            </w:r>
          </w:p>
        </w:tc>
        <w:tc>
          <w:tcPr>
            <w:tcW w:w="3050" w:type="dxa"/>
            <w:tcBorders/>
            <w:vAlign w:val="center"/>
          </w:tcPr>
          <w:p>
            <w:pPr>
              <w:pStyle w:val="TableContents"/>
              <w:bidi w:val="0"/>
              <w:spacing w:before="0" w:after="0"/>
              <w:ind w:left="0" w:right="0" w:hanging="0"/>
              <w:jc w:val="left"/>
              <w:rPr>
                <w:rFonts w:ascii="Times New Roman" w:hAnsi="Times New Roman"/>
                <w:caps w:val="false"/>
                <w:smallCaps w:val="false"/>
                <w:sz w:val="22"/>
              </w:rPr>
            </w:pPr>
            <w:r>
              <w:rPr>
                <w:rFonts w:ascii="Times New Roman" w:hAnsi="Times New Roman"/>
                <w:caps w:val="false"/>
                <w:smallCaps w:val="false"/>
                <w:sz w:val="22"/>
              </w:rPr>
              <w:t>(214) 559-0300</w:t>
            </w:r>
          </w:p>
        </w:tc>
      </w:tr>
    </w:tbl>
    <w:p>
      <w:pPr>
        <w:pStyle w:val="TextBody"/>
        <w:bidi w:val="0"/>
        <w:spacing w:before="0" w:after="0"/>
        <w:ind w:left="0" w:right="0" w:firstLine="3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Dorchester Minerals, L.P. Announces Second Quarter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DALLAS, TEXAS -- Dorchester Minerals, L.P. (the “Partnership”) (NASDAQ-DMLP) announced today the Partnership’s net income for the quarter ended June 30, 2026 of $30,871,000, or $0.62 per common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 comparison of the Partnership’s consolidated results for the quarters ended June 30, 2026 and 2025 are set forth below:</w:t>
      </w:r>
    </w:p>
    <w:p>
      <w:pPr>
        <w:pStyle w:val="TextBody"/>
        <w:bidi w:val="0"/>
        <w:spacing w:before="0" w:after="0"/>
        <w:ind w:left="0" w:right="0" w:firstLine="440"/>
        <w:jc w:val="both"/>
        <w:rPr>
          <w:caps w:val="false"/>
          <w:smallCaps w:val="false"/>
        </w:rPr>
      </w:pPr>
      <w:r>
        <w:rPr>
          <w:caps w:val="false"/>
          <w:smallCaps w:val="false"/>
        </w:rPr>
        <w:t> </w:t>
      </w:r>
    </w:p>
    <w:tbl>
      <w:tblPr>
        <w:tblW w:w="7039" w:type="dxa"/>
        <w:jc w:val="left"/>
        <w:tblInd w:w="0" w:type="dxa"/>
        <w:tblLayout w:type="fixed"/>
        <w:tblCellMar>
          <w:top w:w="0" w:type="dxa"/>
          <w:left w:w="0" w:type="dxa"/>
          <w:bottom w:w="0" w:type="dxa"/>
          <w:right w:w="0" w:type="dxa"/>
        </w:tblCellMar>
      </w:tblPr>
      <w:tblGrid>
        <w:gridCol w:w="2450"/>
        <w:gridCol w:w="23"/>
        <w:gridCol w:w="125"/>
        <w:gridCol w:w="950"/>
        <w:gridCol w:w="23"/>
        <w:gridCol w:w="23"/>
        <w:gridCol w:w="125"/>
        <w:gridCol w:w="950"/>
        <w:gridCol w:w="23"/>
        <w:gridCol w:w="23"/>
        <w:gridCol w:w="125"/>
        <w:gridCol w:w="1055"/>
        <w:gridCol w:w="23"/>
        <w:gridCol w:w="23"/>
        <w:gridCol w:w="125"/>
        <w:gridCol w:w="950"/>
        <w:gridCol w:w="23"/>
      </w:tblGrid>
      <w:tr>
        <w:trPr/>
        <w:tc>
          <w:tcPr>
            <w:tcW w:w="2450" w:type="dxa"/>
            <w:tcBorders/>
            <w:vAlign w:val="center"/>
          </w:tcPr>
          <w:p>
            <w:pPr>
              <w:pStyle w:val="TableContents"/>
              <w:bidi w:val="0"/>
              <w:spacing w:before="0" w:after="0"/>
              <w:jc w:val="left"/>
              <w:rPr/>
            </w:pPr>
            <w:r>
              <w:rPr/>
              <w:t>​</w:t>
            </w:r>
            <w:bookmarkStart w:id="6" w:name=".lead.D3"/>
            <w:bookmarkEnd w:id="6"/>
          </w:p>
        </w:tc>
        <w:tc>
          <w:tcPr>
            <w:tcW w:w="23" w:type="dxa"/>
            <w:tcBorders/>
            <w:vAlign w:val="center"/>
          </w:tcPr>
          <w:p>
            <w:pPr>
              <w:pStyle w:val="TableContents"/>
              <w:bidi w:val="0"/>
              <w:spacing w:before="0" w:after="0"/>
              <w:ind w:left="0" w:right="0" w:hanging="0"/>
              <w:jc w:val="left"/>
              <w:rPr/>
            </w:pPr>
            <w:r>
              <w:rPr/>
              <w:t>​</w:t>
            </w:r>
            <w:bookmarkStart w:id="7" w:name=".amt.D3"/>
            <w:bookmarkEnd w:id="7"/>
          </w:p>
        </w:tc>
        <w:tc>
          <w:tcPr>
            <w:tcW w:w="2196" w:type="dxa"/>
            <w:gridSpan w:val="6"/>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w:t>
            </w:r>
            <w:bookmarkStart w:id="8" w:name=".trail.D3"/>
            <w:bookmarkEnd w:id="8"/>
          </w:p>
        </w:tc>
        <w:tc>
          <w:tcPr>
            <w:tcW w:w="23" w:type="dxa"/>
            <w:tcBorders/>
            <w:vAlign w:val="center"/>
          </w:tcPr>
          <w:p>
            <w:pPr>
              <w:pStyle w:val="TableContents"/>
              <w:bidi w:val="0"/>
              <w:spacing w:before="0" w:after="0"/>
              <w:ind w:left="0" w:right="0" w:hanging="0"/>
              <w:jc w:val="left"/>
              <w:rPr/>
            </w:pPr>
            <w:r>
              <w:rPr/>
              <w:t>​</w:t>
            </w:r>
            <w:bookmarkStart w:id="9" w:name=".lead.D5"/>
            <w:bookmarkEnd w:id="9"/>
          </w:p>
        </w:tc>
        <w:tc>
          <w:tcPr>
            <w:tcW w:w="23" w:type="dxa"/>
            <w:tcBorders/>
            <w:vAlign w:val="center"/>
          </w:tcPr>
          <w:p>
            <w:pPr>
              <w:pStyle w:val="TableContents"/>
              <w:bidi w:val="0"/>
              <w:spacing w:before="0" w:after="0"/>
              <w:ind w:left="0" w:right="0" w:hanging="0"/>
              <w:jc w:val="left"/>
              <w:rPr/>
            </w:pPr>
            <w:r>
              <w:rPr/>
              <w:t>​</w:t>
            </w:r>
            <w:bookmarkStart w:id="10" w:name=".amt.D5"/>
            <w:bookmarkEnd w:id="10"/>
          </w:p>
        </w:tc>
        <w:tc>
          <w:tcPr>
            <w:tcW w:w="2301" w:type="dxa"/>
            <w:gridSpan w:val="6"/>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Six Months Ended</w:t>
            </w:r>
            <w:bookmarkStart w:id="11" w:name=".trail.D5"/>
            <w:bookmarkEnd w:id="11"/>
          </w:p>
        </w:tc>
        <w:tc>
          <w:tcPr>
            <w:tcW w:w="23" w:type="dxa"/>
            <w:tcBorders/>
            <w:vAlign w:val="center"/>
          </w:tcPr>
          <w:p>
            <w:pPr>
              <w:pStyle w:val="TableContents"/>
              <w:bidi w:val="0"/>
              <w:spacing w:before="0" w:after="0"/>
              <w:ind w:left="0" w:right="0" w:hanging="0"/>
              <w:jc w:val="left"/>
              <w:rPr/>
            </w:pPr>
            <w:r>
              <w:rPr/>
              <w:t>​</w:t>
            </w:r>
          </w:p>
        </w:tc>
      </w:tr>
      <w:tr>
        <w:trPr/>
        <w:tc>
          <w:tcPr>
            <w:tcW w:w="2450" w:type="dxa"/>
            <w:tcBorders/>
            <w:vAlign w:val="center"/>
          </w:tcPr>
          <w:p>
            <w:pPr>
              <w:pStyle w:val="TableContents"/>
              <w:bidi w:val="0"/>
              <w:spacing w:before="0" w:after="0"/>
              <w:jc w:val="left"/>
              <w:rPr/>
            </w:pPr>
            <w:r>
              <w:rPr/>
              <w:t>​</w:t>
            </w:r>
            <w:bookmarkStart w:id="12" w:name=".lead.D31"/>
            <w:bookmarkStart w:id="13" w:name=".lead.D32"/>
            <w:bookmarkEnd w:id="12"/>
            <w:bookmarkEnd w:id="13"/>
          </w:p>
        </w:tc>
        <w:tc>
          <w:tcPr>
            <w:tcW w:w="23" w:type="dxa"/>
            <w:tcBorders/>
            <w:vAlign w:val="center"/>
          </w:tcPr>
          <w:p>
            <w:pPr>
              <w:pStyle w:val="TableContents"/>
              <w:bidi w:val="0"/>
              <w:spacing w:before="0" w:after="0"/>
              <w:ind w:left="0" w:right="0" w:hanging="0"/>
              <w:jc w:val="left"/>
              <w:rPr/>
            </w:pPr>
            <w:r>
              <w:rPr/>
              <w:t>​</w:t>
            </w:r>
            <w:bookmarkStart w:id="14" w:name=".amt.D31"/>
            <w:bookmarkStart w:id="15" w:name=".amt.D32"/>
            <w:bookmarkEnd w:id="14"/>
            <w:bookmarkEnd w:id="15"/>
          </w:p>
        </w:tc>
        <w:tc>
          <w:tcPr>
            <w:tcW w:w="21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bookmarkStart w:id="16" w:name=".trail.D31"/>
            <w:bookmarkStart w:id="17" w:name=".trail.D32"/>
            <w:bookmarkEnd w:id="16"/>
            <w:bookmarkEnd w:id="17"/>
          </w:p>
        </w:tc>
        <w:tc>
          <w:tcPr>
            <w:tcW w:w="23" w:type="dxa"/>
            <w:tcBorders/>
            <w:vAlign w:val="center"/>
          </w:tcPr>
          <w:p>
            <w:pPr>
              <w:pStyle w:val="TableContents"/>
              <w:bidi w:val="0"/>
              <w:spacing w:before="0" w:after="0"/>
              <w:ind w:left="0" w:right="0" w:hanging="0"/>
              <w:jc w:val="left"/>
              <w:rPr/>
            </w:pPr>
            <w:r>
              <w:rPr/>
              <w:t>​</w:t>
            </w:r>
            <w:bookmarkStart w:id="18" w:name=".lead.D51"/>
            <w:bookmarkStart w:id="19" w:name=".lead.D52"/>
            <w:bookmarkEnd w:id="18"/>
            <w:bookmarkEnd w:id="19"/>
          </w:p>
        </w:tc>
        <w:tc>
          <w:tcPr>
            <w:tcW w:w="23" w:type="dxa"/>
            <w:tcBorders/>
            <w:vAlign w:val="center"/>
          </w:tcPr>
          <w:p>
            <w:pPr>
              <w:pStyle w:val="TableContents"/>
              <w:bidi w:val="0"/>
              <w:spacing w:before="0" w:after="0"/>
              <w:ind w:left="0" w:right="0" w:hanging="0"/>
              <w:jc w:val="left"/>
              <w:rPr/>
            </w:pPr>
            <w:r>
              <w:rPr/>
              <w:t>​</w:t>
            </w:r>
            <w:bookmarkStart w:id="20" w:name=".amt.D51"/>
            <w:bookmarkStart w:id="21" w:name=".amt.D52"/>
            <w:bookmarkEnd w:id="20"/>
            <w:bookmarkEnd w:id="21"/>
          </w:p>
        </w:tc>
        <w:tc>
          <w:tcPr>
            <w:tcW w:w="230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bookmarkStart w:id="22" w:name=".trail.D51"/>
            <w:bookmarkStart w:id="23" w:name=".trail.D52"/>
            <w:bookmarkEnd w:id="22"/>
            <w:bookmarkEnd w:id="23"/>
          </w:p>
        </w:tc>
        <w:tc>
          <w:tcPr>
            <w:tcW w:w="23" w:type="dxa"/>
            <w:tcBorders/>
            <w:vAlign w:val="center"/>
          </w:tcPr>
          <w:p>
            <w:pPr>
              <w:pStyle w:val="TableContents"/>
              <w:bidi w:val="0"/>
              <w:spacing w:before="0" w:after="0"/>
              <w:ind w:left="0" w:right="0" w:hanging="0"/>
              <w:jc w:val="left"/>
              <w:rPr/>
            </w:pPr>
            <w:r>
              <w:rPr/>
              <w:t>​</w:t>
            </w:r>
          </w:p>
        </w:tc>
      </w:tr>
      <w:tr>
        <w:trPr/>
        <w:tc>
          <w:tcPr>
            <w:tcW w:w="2450" w:type="dxa"/>
            <w:tcBorders/>
            <w:vAlign w:val="center"/>
          </w:tcPr>
          <w:p>
            <w:pPr>
              <w:pStyle w:val="TableContents"/>
              <w:bidi w:val="0"/>
              <w:spacing w:before="0" w:after="0"/>
              <w:jc w:val="left"/>
              <w:rPr/>
            </w:pPr>
            <w:r>
              <w:rPr/>
              <w:t>​</w:t>
            </w:r>
            <w:bookmarkStart w:id="24" w:name=".lead.D2"/>
            <w:bookmarkEnd w:id="24"/>
          </w:p>
        </w:tc>
        <w:tc>
          <w:tcPr>
            <w:tcW w:w="23" w:type="dxa"/>
            <w:tcBorders/>
            <w:vAlign w:val="center"/>
          </w:tcPr>
          <w:p>
            <w:pPr>
              <w:pStyle w:val="TableContents"/>
              <w:bidi w:val="0"/>
              <w:spacing w:before="0" w:after="0"/>
              <w:ind w:left="0" w:right="0" w:hanging="0"/>
              <w:jc w:val="left"/>
              <w:rPr/>
            </w:pPr>
            <w:r>
              <w:rPr/>
              <w:t>​</w:t>
            </w:r>
            <w:bookmarkStart w:id="25" w:name=".amt.D2"/>
            <w:bookmarkEnd w:id="25"/>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bookmarkStart w:id="26" w:name=".trail.D2"/>
            <w:bookmarkEnd w:id="26"/>
          </w:p>
        </w:tc>
        <w:tc>
          <w:tcPr>
            <w:tcW w:w="23" w:type="dxa"/>
            <w:tcBorders/>
            <w:vAlign w:val="center"/>
          </w:tcPr>
          <w:p>
            <w:pPr>
              <w:pStyle w:val="TableContents"/>
              <w:bidi w:val="0"/>
              <w:spacing w:before="0" w:after="0"/>
              <w:ind w:left="0" w:right="0" w:hanging="0"/>
              <w:jc w:val="left"/>
              <w:rPr/>
            </w:pPr>
            <w:r>
              <w:rPr/>
              <w:t>​</w:t>
            </w:r>
            <w:bookmarkStart w:id="27" w:name=".lead.D33"/>
            <w:bookmarkStart w:id="28" w:name=".lead.D34"/>
            <w:bookmarkEnd w:id="27"/>
            <w:bookmarkEnd w:id="28"/>
          </w:p>
        </w:tc>
        <w:tc>
          <w:tcPr>
            <w:tcW w:w="23" w:type="dxa"/>
            <w:tcBorders/>
            <w:vAlign w:val="center"/>
          </w:tcPr>
          <w:p>
            <w:pPr>
              <w:pStyle w:val="TableContents"/>
              <w:bidi w:val="0"/>
              <w:spacing w:before="0" w:after="0"/>
              <w:ind w:left="0" w:right="0" w:hanging="0"/>
              <w:jc w:val="left"/>
              <w:rPr/>
            </w:pPr>
            <w:r>
              <w:rPr/>
              <w:t>​</w:t>
            </w:r>
            <w:bookmarkStart w:id="29" w:name=".amt.D33"/>
            <w:bookmarkStart w:id="30" w:name=".amt.D34"/>
            <w:bookmarkEnd w:id="29"/>
            <w:bookmarkEnd w:id="30"/>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bookmarkStart w:id="31" w:name=".trail.D33"/>
            <w:bookmarkStart w:id="32" w:name=".trail.D34"/>
            <w:bookmarkEnd w:id="31"/>
            <w:bookmarkEnd w:id="32"/>
          </w:p>
        </w:tc>
        <w:tc>
          <w:tcPr>
            <w:tcW w:w="23" w:type="dxa"/>
            <w:tcBorders/>
            <w:vAlign w:val="center"/>
          </w:tcPr>
          <w:p>
            <w:pPr>
              <w:pStyle w:val="TableContents"/>
              <w:bidi w:val="0"/>
              <w:spacing w:before="0" w:after="0"/>
              <w:ind w:left="0" w:right="0" w:hanging="0"/>
              <w:jc w:val="left"/>
              <w:rPr/>
            </w:pPr>
            <w:r>
              <w:rPr/>
              <w:t>​</w:t>
            </w:r>
            <w:bookmarkStart w:id="33" w:name=".lead.D4"/>
            <w:bookmarkEnd w:id="33"/>
          </w:p>
        </w:tc>
        <w:tc>
          <w:tcPr>
            <w:tcW w:w="23" w:type="dxa"/>
            <w:tcBorders/>
            <w:vAlign w:val="center"/>
          </w:tcPr>
          <w:p>
            <w:pPr>
              <w:pStyle w:val="TableContents"/>
              <w:bidi w:val="0"/>
              <w:spacing w:before="0" w:after="0"/>
              <w:ind w:left="0" w:right="0" w:hanging="0"/>
              <w:jc w:val="left"/>
              <w:rPr/>
            </w:pPr>
            <w:r>
              <w:rPr/>
              <w:t>​</w:t>
            </w:r>
            <w:bookmarkStart w:id="34" w:name=".amt.D4"/>
            <w:bookmarkEnd w:id="34"/>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bookmarkStart w:id="35" w:name=".trail.D4"/>
            <w:bookmarkEnd w:id="35"/>
          </w:p>
        </w:tc>
        <w:tc>
          <w:tcPr>
            <w:tcW w:w="23" w:type="dxa"/>
            <w:tcBorders/>
            <w:vAlign w:val="center"/>
          </w:tcPr>
          <w:p>
            <w:pPr>
              <w:pStyle w:val="TableContents"/>
              <w:bidi w:val="0"/>
              <w:spacing w:before="0" w:after="0"/>
              <w:ind w:left="0" w:right="0" w:hanging="0"/>
              <w:jc w:val="left"/>
              <w:rPr/>
            </w:pPr>
            <w:r>
              <w:rPr/>
              <w:t>​</w:t>
            </w:r>
            <w:bookmarkStart w:id="36" w:name=".lead.D53"/>
            <w:bookmarkStart w:id="37" w:name=".lead.D54"/>
            <w:bookmarkEnd w:id="36"/>
            <w:bookmarkEnd w:id="37"/>
          </w:p>
        </w:tc>
        <w:tc>
          <w:tcPr>
            <w:tcW w:w="23" w:type="dxa"/>
            <w:tcBorders/>
            <w:vAlign w:val="center"/>
          </w:tcPr>
          <w:p>
            <w:pPr>
              <w:pStyle w:val="TableContents"/>
              <w:bidi w:val="0"/>
              <w:spacing w:before="0" w:after="0"/>
              <w:ind w:left="0" w:right="0" w:hanging="0"/>
              <w:jc w:val="left"/>
              <w:rPr/>
            </w:pPr>
            <w:r>
              <w:rPr/>
              <w:t>​</w:t>
            </w:r>
            <w:bookmarkStart w:id="38" w:name=".amt.D53"/>
            <w:bookmarkStart w:id="39" w:name=".amt.D54"/>
            <w:bookmarkEnd w:id="38"/>
            <w:bookmarkEnd w:id="39"/>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bookmarkStart w:id="40" w:name=".trail.D53"/>
            <w:bookmarkStart w:id="41" w:name=".trail.D54"/>
            <w:bookmarkEnd w:id="40"/>
            <w:bookmarkEnd w:id="41"/>
          </w:p>
        </w:tc>
        <w:tc>
          <w:tcPr>
            <w:tcW w:w="23" w:type="dxa"/>
            <w:tcBorders/>
            <w:vAlign w:val="center"/>
          </w:tcPr>
          <w:p>
            <w:pPr>
              <w:pStyle w:val="TableContents"/>
              <w:bidi w:val="0"/>
              <w:spacing w:before="0" w:after="0"/>
              <w:ind w:left="0" w:right="0" w:hanging="0"/>
              <w:jc w:val="left"/>
              <w:rPr/>
            </w:pPr>
            <w:r>
              <w:rPr/>
              <w:t>​</w:t>
            </w:r>
          </w:p>
        </w:tc>
      </w:tr>
      <w:tr>
        <w:trPr/>
        <w:tc>
          <w:tcPr>
            <w:tcW w:w="245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Revenues</w:t>
            </w:r>
            <w:bookmarkStart w:id="42" w:name=".lead.2"/>
            <w:bookmarkEnd w:id="42"/>
          </w:p>
        </w:tc>
        <w:tc>
          <w:tcPr>
            <w:tcW w:w="23" w:type="dxa"/>
            <w:tcBorders/>
            <w:shd w:fill="CCEEFF" w:val="clear"/>
            <w:vAlign w:val="center"/>
          </w:tcPr>
          <w:p>
            <w:pPr>
              <w:pStyle w:val="TableContents"/>
              <w:bidi w:val="0"/>
              <w:spacing w:before="0" w:after="0"/>
              <w:ind w:left="0" w:right="0" w:hanging="0"/>
              <w:jc w:val="left"/>
              <w:rPr/>
            </w:pPr>
            <w:r>
              <w:rPr/>
              <w:t>​</w:t>
            </w:r>
            <w:bookmarkStart w:id="43" w:name=".symb.2"/>
            <w:bookmarkEnd w:id="43"/>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 w:name=".amt.2"/>
            <w:bookmarkEnd w:id="44"/>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56,075,000</w:t>
            </w:r>
            <w:bookmarkStart w:id="45" w:name=".trail.2"/>
            <w:bookmarkEnd w:id="45"/>
          </w:p>
        </w:tc>
        <w:tc>
          <w:tcPr>
            <w:tcW w:w="23" w:type="dxa"/>
            <w:tcBorders/>
            <w:shd w:fill="CCEEFF" w:val="clear"/>
            <w:vAlign w:val="center"/>
          </w:tcPr>
          <w:p>
            <w:pPr>
              <w:pStyle w:val="TableContents"/>
              <w:bidi w:val="0"/>
              <w:spacing w:before="0" w:after="0"/>
              <w:ind w:left="0" w:right="0" w:hanging="0"/>
              <w:jc w:val="left"/>
              <w:rPr/>
            </w:pPr>
            <w:r>
              <w:rPr/>
              <w:t>​</w:t>
            </w:r>
            <w:bookmarkStart w:id="46" w:name=".lead.3"/>
            <w:bookmarkEnd w:id="46"/>
          </w:p>
        </w:tc>
        <w:tc>
          <w:tcPr>
            <w:tcW w:w="23" w:type="dxa"/>
            <w:tcBorders/>
            <w:shd w:fill="CCEEFF" w:val="clear"/>
            <w:vAlign w:val="center"/>
          </w:tcPr>
          <w:p>
            <w:pPr>
              <w:pStyle w:val="TableContents"/>
              <w:bidi w:val="0"/>
              <w:spacing w:before="0" w:after="0"/>
              <w:ind w:left="0" w:right="0" w:hanging="0"/>
              <w:jc w:val="left"/>
              <w:rPr/>
            </w:pPr>
            <w:r>
              <w:rPr/>
              <w:t>​</w:t>
            </w:r>
            <w:bookmarkStart w:id="47" w:name=".symb.3"/>
            <w:bookmarkEnd w:id="4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 w:name=".amt.3"/>
            <w:bookmarkEnd w:id="48"/>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32,395,000</w:t>
            </w:r>
            <w:bookmarkStart w:id="49" w:name=".trail.3"/>
            <w:bookmarkEnd w:id="49"/>
          </w:p>
        </w:tc>
        <w:tc>
          <w:tcPr>
            <w:tcW w:w="23" w:type="dxa"/>
            <w:tcBorders/>
            <w:shd w:fill="CCEEFF" w:val="clear"/>
            <w:vAlign w:val="center"/>
          </w:tcPr>
          <w:p>
            <w:pPr>
              <w:pStyle w:val="TableContents"/>
              <w:bidi w:val="0"/>
              <w:spacing w:before="0" w:after="0"/>
              <w:ind w:left="0" w:right="0" w:hanging="0"/>
              <w:jc w:val="left"/>
              <w:rPr/>
            </w:pPr>
            <w:r>
              <w:rPr/>
              <w:t>​</w:t>
            </w:r>
            <w:bookmarkStart w:id="50" w:name=".lead.4"/>
            <w:bookmarkEnd w:id="50"/>
          </w:p>
        </w:tc>
        <w:tc>
          <w:tcPr>
            <w:tcW w:w="23" w:type="dxa"/>
            <w:tcBorders/>
            <w:shd w:fill="CCEEFF" w:val="clear"/>
            <w:vAlign w:val="center"/>
          </w:tcPr>
          <w:p>
            <w:pPr>
              <w:pStyle w:val="TableContents"/>
              <w:bidi w:val="0"/>
              <w:spacing w:before="0" w:after="0"/>
              <w:ind w:left="0" w:right="0" w:hanging="0"/>
              <w:jc w:val="left"/>
              <w:rPr/>
            </w:pPr>
            <w:r>
              <w:rPr/>
              <w:t>​</w:t>
            </w:r>
            <w:bookmarkStart w:id="51" w:name=".symb.4"/>
            <w:bookmarkEnd w:id="51"/>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 w:name=".amt.4"/>
            <w:bookmarkEnd w:id="52"/>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114,950,000</w:t>
            </w:r>
            <w:bookmarkStart w:id="53" w:name=".trail.4"/>
            <w:bookmarkEnd w:id="53"/>
          </w:p>
        </w:tc>
        <w:tc>
          <w:tcPr>
            <w:tcW w:w="23" w:type="dxa"/>
            <w:tcBorders/>
            <w:shd w:fill="CCEEFF" w:val="clear"/>
            <w:vAlign w:val="center"/>
          </w:tcPr>
          <w:p>
            <w:pPr>
              <w:pStyle w:val="TableContents"/>
              <w:bidi w:val="0"/>
              <w:spacing w:before="0" w:after="0"/>
              <w:ind w:left="0" w:right="0" w:hanging="0"/>
              <w:jc w:val="left"/>
              <w:rPr/>
            </w:pPr>
            <w:r>
              <w:rPr/>
              <w:t>​</w:t>
            </w:r>
            <w:bookmarkStart w:id="54" w:name=".lead.5"/>
            <w:bookmarkEnd w:id="54"/>
          </w:p>
        </w:tc>
        <w:tc>
          <w:tcPr>
            <w:tcW w:w="23" w:type="dxa"/>
            <w:tcBorders/>
            <w:shd w:fill="CCEEFF" w:val="clear"/>
            <w:vAlign w:val="center"/>
          </w:tcPr>
          <w:p>
            <w:pPr>
              <w:pStyle w:val="TableContents"/>
              <w:bidi w:val="0"/>
              <w:spacing w:before="0" w:after="0"/>
              <w:ind w:left="0" w:right="0" w:hanging="0"/>
              <w:jc w:val="left"/>
              <w:rPr/>
            </w:pPr>
            <w:r>
              <w:rPr/>
              <w:t>​</w:t>
            </w:r>
            <w:bookmarkStart w:id="55" w:name=".symb.5"/>
            <w:bookmarkEnd w:id="55"/>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6" w:name=".amt.5"/>
            <w:bookmarkEnd w:id="56"/>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75,559,000</w:t>
            </w:r>
            <w:bookmarkStart w:id="57" w:name=".trail.5"/>
            <w:bookmarkEnd w:id="5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45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w:t>
            </w:r>
            <w:bookmarkStart w:id="58" w:name=".lead.21"/>
            <w:bookmarkStart w:id="59" w:name=".lead.22"/>
            <w:bookmarkEnd w:id="58"/>
            <w:bookmarkEnd w:id="59"/>
          </w:p>
        </w:tc>
        <w:tc>
          <w:tcPr>
            <w:tcW w:w="23" w:type="dxa"/>
            <w:tcBorders/>
            <w:shd w:fill="FFFFFF" w:val="clear"/>
            <w:vAlign w:val="center"/>
          </w:tcPr>
          <w:p>
            <w:pPr>
              <w:pStyle w:val="TableContents"/>
              <w:bidi w:val="0"/>
              <w:spacing w:before="0" w:after="0"/>
              <w:ind w:left="0" w:right="0" w:hanging="0"/>
              <w:jc w:val="left"/>
              <w:rPr/>
            </w:pPr>
            <w:r>
              <w:rPr/>
              <w:t>​</w:t>
            </w:r>
            <w:bookmarkStart w:id="60" w:name=".symb.21"/>
            <w:bookmarkStart w:id="61" w:name=".symb.22"/>
            <w:bookmarkEnd w:id="60"/>
            <w:bookmarkEnd w:id="61"/>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2" w:name=".amt.21"/>
            <w:bookmarkStart w:id="63" w:name=".amt.22"/>
            <w:bookmarkEnd w:id="62"/>
            <w:bookmarkEnd w:id="63"/>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30,871,000</w:t>
            </w:r>
            <w:bookmarkStart w:id="64" w:name=".trail.21"/>
            <w:bookmarkStart w:id="65" w:name=".trail.22"/>
            <w:bookmarkEnd w:id="64"/>
            <w:bookmarkEnd w:id="65"/>
          </w:p>
        </w:tc>
        <w:tc>
          <w:tcPr>
            <w:tcW w:w="23" w:type="dxa"/>
            <w:tcBorders/>
            <w:shd w:fill="FFFFFF" w:val="clear"/>
            <w:vAlign w:val="center"/>
          </w:tcPr>
          <w:p>
            <w:pPr>
              <w:pStyle w:val="TableContents"/>
              <w:bidi w:val="0"/>
              <w:spacing w:before="0" w:after="0"/>
              <w:ind w:left="0" w:right="0" w:hanging="0"/>
              <w:jc w:val="left"/>
              <w:rPr/>
            </w:pPr>
            <w:r>
              <w:rPr/>
              <w:t>​</w:t>
            </w:r>
            <w:bookmarkStart w:id="66" w:name=".lead.31"/>
            <w:bookmarkStart w:id="67" w:name=".lead.32"/>
            <w:bookmarkEnd w:id="66"/>
            <w:bookmarkEnd w:id="67"/>
          </w:p>
        </w:tc>
        <w:tc>
          <w:tcPr>
            <w:tcW w:w="23" w:type="dxa"/>
            <w:tcBorders/>
            <w:shd w:fill="FFFFFF" w:val="clear"/>
            <w:vAlign w:val="center"/>
          </w:tcPr>
          <w:p>
            <w:pPr>
              <w:pStyle w:val="TableContents"/>
              <w:bidi w:val="0"/>
              <w:spacing w:before="0" w:after="0"/>
              <w:ind w:left="0" w:right="0" w:hanging="0"/>
              <w:jc w:val="left"/>
              <w:rPr/>
            </w:pPr>
            <w:r>
              <w:rPr/>
              <w:t>​</w:t>
            </w:r>
            <w:bookmarkStart w:id="68" w:name=".symb.31"/>
            <w:bookmarkStart w:id="69" w:name=".symb.32"/>
            <w:bookmarkEnd w:id="68"/>
            <w:bookmarkEnd w:id="69"/>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 w:name=".amt.31"/>
            <w:bookmarkStart w:id="71" w:name=".amt.32"/>
            <w:bookmarkEnd w:id="70"/>
            <w:bookmarkEnd w:id="71"/>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12,347,000</w:t>
            </w:r>
            <w:bookmarkStart w:id="72" w:name=".trail.31"/>
            <w:bookmarkStart w:id="73" w:name=".trail.32"/>
            <w:bookmarkEnd w:id="72"/>
            <w:bookmarkEnd w:id="73"/>
          </w:p>
        </w:tc>
        <w:tc>
          <w:tcPr>
            <w:tcW w:w="23" w:type="dxa"/>
            <w:tcBorders/>
            <w:shd w:fill="FFFFFF" w:val="clear"/>
            <w:vAlign w:val="center"/>
          </w:tcPr>
          <w:p>
            <w:pPr>
              <w:pStyle w:val="TableContents"/>
              <w:bidi w:val="0"/>
              <w:spacing w:before="0" w:after="0"/>
              <w:ind w:left="0" w:right="0" w:hanging="0"/>
              <w:jc w:val="left"/>
              <w:rPr/>
            </w:pPr>
            <w:r>
              <w:rPr/>
              <w:t>​</w:t>
            </w:r>
            <w:bookmarkStart w:id="74" w:name=".lead.41"/>
            <w:bookmarkStart w:id="75" w:name=".lead.42"/>
            <w:bookmarkEnd w:id="74"/>
            <w:bookmarkEnd w:id="75"/>
          </w:p>
        </w:tc>
        <w:tc>
          <w:tcPr>
            <w:tcW w:w="23" w:type="dxa"/>
            <w:tcBorders/>
            <w:shd w:fill="FFFFFF" w:val="clear"/>
            <w:vAlign w:val="center"/>
          </w:tcPr>
          <w:p>
            <w:pPr>
              <w:pStyle w:val="TableContents"/>
              <w:bidi w:val="0"/>
              <w:spacing w:before="0" w:after="0"/>
              <w:ind w:left="0" w:right="0" w:hanging="0"/>
              <w:jc w:val="left"/>
              <w:rPr/>
            </w:pPr>
            <w:r>
              <w:rPr/>
              <w:t>​</w:t>
            </w:r>
            <w:bookmarkStart w:id="76" w:name=".symb.41"/>
            <w:bookmarkStart w:id="77" w:name=".symb.42"/>
            <w:bookmarkEnd w:id="76"/>
            <w:bookmarkEnd w:id="77"/>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8" w:name=".amt.41"/>
            <w:bookmarkStart w:id="79" w:name=".amt.42"/>
            <w:bookmarkEnd w:id="78"/>
            <w:bookmarkEnd w:id="79"/>
          </w:p>
        </w:tc>
        <w:tc>
          <w:tcPr>
            <w:tcW w:w="10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60,008,000</w:t>
            </w:r>
            <w:bookmarkStart w:id="80" w:name=".trail.41"/>
            <w:bookmarkStart w:id="81" w:name=".trail.42"/>
            <w:bookmarkEnd w:id="80"/>
            <w:bookmarkEnd w:id="81"/>
          </w:p>
        </w:tc>
        <w:tc>
          <w:tcPr>
            <w:tcW w:w="23" w:type="dxa"/>
            <w:tcBorders/>
            <w:shd w:fill="FFFFFF" w:val="clear"/>
            <w:vAlign w:val="center"/>
          </w:tcPr>
          <w:p>
            <w:pPr>
              <w:pStyle w:val="TableContents"/>
              <w:bidi w:val="0"/>
              <w:spacing w:before="0" w:after="0"/>
              <w:ind w:left="0" w:right="0" w:hanging="0"/>
              <w:jc w:val="left"/>
              <w:rPr/>
            </w:pPr>
            <w:r>
              <w:rPr/>
              <w:t>​</w:t>
            </w:r>
            <w:bookmarkStart w:id="82" w:name=".lead.51"/>
            <w:bookmarkStart w:id="83" w:name=".lead.52"/>
            <w:bookmarkEnd w:id="82"/>
            <w:bookmarkEnd w:id="83"/>
          </w:p>
        </w:tc>
        <w:tc>
          <w:tcPr>
            <w:tcW w:w="23" w:type="dxa"/>
            <w:tcBorders/>
            <w:shd w:fill="FFFFFF" w:val="clear"/>
            <w:vAlign w:val="center"/>
          </w:tcPr>
          <w:p>
            <w:pPr>
              <w:pStyle w:val="TableContents"/>
              <w:bidi w:val="0"/>
              <w:spacing w:before="0" w:after="0"/>
              <w:ind w:left="0" w:right="0" w:hanging="0"/>
              <w:jc w:val="left"/>
              <w:rPr/>
            </w:pPr>
            <w:r>
              <w:rPr/>
              <w:t>​</w:t>
            </w:r>
            <w:bookmarkStart w:id="84" w:name=".symb.51"/>
            <w:bookmarkStart w:id="85" w:name=".symb.52"/>
            <w:bookmarkEnd w:id="84"/>
            <w:bookmarkEnd w:id="85"/>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6" w:name=".amt.51"/>
            <w:bookmarkStart w:id="87" w:name=".amt.52"/>
            <w:bookmarkEnd w:id="86"/>
            <w:bookmarkEnd w:id="87"/>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29,989,000</w:t>
            </w:r>
            <w:bookmarkStart w:id="88" w:name=".trail.51"/>
            <w:bookmarkStart w:id="89" w:name=".trail.52"/>
            <w:bookmarkEnd w:id="88"/>
            <w:bookmarkEnd w:id="8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45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 Per Common Unit</w:t>
            </w:r>
            <w:bookmarkStart w:id="90" w:name=".lead.23"/>
            <w:bookmarkStart w:id="91" w:name=".lead.24"/>
            <w:bookmarkEnd w:id="90"/>
            <w:bookmarkEnd w:id="91"/>
          </w:p>
        </w:tc>
        <w:tc>
          <w:tcPr>
            <w:tcW w:w="23" w:type="dxa"/>
            <w:tcBorders/>
            <w:shd w:fill="CCEEFF" w:val="clear"/>
            <w:vAlign w:val="center"/>
          </w:tcPr>
          <w:p>
            <w:pPr>
              <w:pStyle w:val="TableContents"/>
              <w:bidi w:val="0"/>
              <w:spacing w:before="0" w:after="0"/>
              <w:ind w:left="0" w:right="0" w:hanging="0"/>
              <w:jc w:val="left"/>
              <w:rPr/>
            </w:pPr>
            <w:r>
              <w:rPr/>
              <w:t>​</w:t>
            </w:r>
            <w:bookmarkStart w:id="92" w:name=".symb.23"/>
            <w:bookmarkStart w:id="93" w:name=".symb.24"/>
            <w:bookmarkEnd w:id="92"/>
            <w:bookmarkEnd w:id="93"/>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4" w:name=".amt.23"/>
            <w:bookmarkStart w:id="95" w:name=".amt.24"/>
            <w:bookmarkEnd w:id="94"/>
            <w:bookmarkEnd w:id="95"/>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0.62</w:t>
            </w:r>
            <w:bookmarkStart w:id="96" w:name=".trail.23"/>
            <w:bookmarkStart w:id="97" w:name=".trail.24"/>
            <w:bookmarkEnd w:id="96"/>
            <w:bookmarkEnd w:id="97"/>
          </w:p>
        </w:tc>
        <w:tc>
          <w:tcPr>
            <w:tcW w:w="23" w:type="dxa"/>
            <w:tcBorders/>
            <w:shd w:fill="CCEEFF" w:val="clear"/>
            <w:vAlign w:val="center"/>
          </w:tcPr>
          <w:p>
            <w:pPr>
              <w:pStyle w:val="TableContents"/>
              <w:bidi w:val="0"/>
              <w:spacing w:before="0" w:after="0"/>
              <w:ind w:left="0" w:right="0" w:hanging="0"/>
              <w:jc w:val="left"/>
              <w:rPr/>
            </w:pPr>
            <w:r>
              <w:rPr/>
              <w:t>​</w:t>
            </w:r>
            <w:bookmarkStart w:id="98" w:name=".lead.33"/>
            <w:bookmarkStart w:id="99" w:name=".lead.34"/>
            <w:bookmarkEnd w:id="98"/>
            <w:bookmarkEnd w:id="99"/>
          </w:p>
        </w:tc>
        <w:tc>
          <w:tcPr>
            <w:tcW w:w="23" w:type="dxa"/>
            <w:tcBorders/>
            <w:shd w:fill="CCEEFF" w:val="clear"/>
            <w:vAlign w:val="center"/>
          </w:tcPr>
          <w:p>
            <w:pPr>
              <w:pStyle w:val="TableContents"/>
              <w:bidi w:val="0"/>
              <w:spacing w:before="0" w:after="0"/>
              <w:ind w:left="0" w:right="0" w:hanging="0"/>
              <w:jc w:val="left"/>
              <w:rPr/>
            </w:pPr>
            <w:r>
              <w:rPr/>
              <w:t>​</w:t>
            </w:r>
            <w:bookmarkStart w:id="100" w:name=".symb.33"/>
            <w:bookmarkStart w:id="101" w:name=".symb.34"/>
            <w:bookmarkEnd w:id="100"/>
            <w:bookmarkEnd w:id="101"/>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2" w:name=".amt.33"/>
            <w:bookmarkStart w:id="103" w:name=".amt.34"/>
            <w:bookmarkEnd w:id="102"/>
            <w:bookmarkEnd w:id="103"/>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0.25</w:t>
            </w:r>
            <w:bookmarkStart w:id="104" w:name=".trail.33"/>
            <w:bookmarkStart w:id="105" w:name=".trail.34"/>
            <w:bookmarkEnd w:id="104"/>
            <w:bookmarkEnd w:id="105"/>
          </w:p>
        </w:tc>
        <w:tc>
          <w:tcPr>
            <w:tcW w:w="23" w:type="dxa"/>
            <w:tcBorders/>
            <w:shd w:fill="CCEEFF" w:val="clear"/>
            <w:vAlign w:val="center"/>
          </w:tcPr>
          <w:p>
            <w:pPr>
              <w:pStyle w:val="TableContents"/>
              <w:bidi w:val="0"/>
              <w:spacing w:before="0" w:after="0"/>
              <w:ind w:left="0" w:right="0" w:hanging="0"/>
              <w:jc w:val="left"/>
              <w:rPr/>
            </w:pPr>
            <w:r>
              <w:rPr/>
              <w:t>​</w:t>
            </w:r>
            <w:bookmarkStart w:id="106" w:name=".lead.43"/>
            <w:bookmarkStart w:id="107" w:name=".lead.44"/>
            <w:bookmarkEnd w:id="106"/>
            <w:bookmarkEnd w:id="107"/>
          </w:p>
        </w:tc>
        <w:tc>
          <w:tcPr>
            <w:tcW w:w="23" w:type="dxa"/>
            <w:tcBorders/>
            <w:shd w:fill="CCEEFF" w:val="clear"/>
            <w:vAlign w:val="center"/>
          </w:tcPr>
          <w:p>
            <w:pPr>
              <w:pStyle w:val="TableContents"/>
              <w:bidi w:val="0"/>
              <w:spacing w:before="0" w:after="0"/>
              <w:ind w:left="0" w:right="0" w:hanging="0"/>
              <w:jc w:val="left"/>
              <w:rPr/>
            </w:pPr>
            <w:r>
              <w:rPr/>
              <w:t>​</w:t>
            </w:r>
            <w:bookmarkStart w:id="108" w:name=".symb.43"/>
            <w:bookmarkStart w:id="109" w:name=".symb.44"/>
            <w:bookmarkEnd w:id="108"/>
            <w:bookmarkEnd w:id="109"/>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0" w:name=".amt.43"/>
            <w:bookmarkStart w:id="111" w:name=".amt.44"/>
            <w:bookmarkEnd w:id="110"/>
            <w:bookmarkEnd w:id="111"/>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w:t>
            </w:r>
            <w:bookmarkStart w:id="112" w:name=".trail.43"/>
            <w:bookmarkStart w:id="113" w:name=".trail.44"/>
            <w:bookmarkEnd w:id="112"/>
            <w:bookmarkEnd w:id="113"/>
          </w:p>
        </w:tc>
        <w:tc>
          <w:tcPr>
            <w:tcW w:w="23" w:type="dxa"/>
            <w:tcBorders/>
            <w:shd w:fill="CCEEFF" w:val="clear"/>
            <w:vAlign w:val="center"/>
          </w:tcPr>
          <w:p>
            <w:pPr>
              <w:pStyle w:val="TableContents"/>
              <w:bidi w:val="0"/>
              <w:spacing w:before="0" w:after="0"/>
              <w:ind w:left="0" w:right="0" w:hanging="0"/>
              <w:jc w:val="left"/>
              <w:rPr/>
            </w:pPr>
            <w:r>
              <w:rPr/>
              <w:t>​</w:t>
            </w:r>
            <w:bookmarkStart w:id="114" w:name=".lead.53"/>
            <w:bookmarkStart w:id="115" w:name=".lead.54"/>
            <w:bookmarkEnd w:id="114"/>
            <w:bookmarkEnd w:id="115"/>
          </w:p>
        </w:tc>
        <w:tc>
          <w:tcPr>
            <w:tcW w:w="23" w:type="dxa"/>
            <w:tcBorders/>
            <w:shd w:fill="CCEEFF" w:val="clear"/>
            <w:vAlign w:val="center"/>
          </w:tcPr>
          <w:p>
            <w:pPr>
              <w:pStyle w:val="TableContents"/>
              <w:bidi w:val="0"/>
              <w:spacing w:before="0" w:after="0"/>
              <w:ind w:left="0" w:right="0" w:hanging="0"/>
              <w:jc w:val="left"/>
              <w:rPr/>
            </w:pPr>
            <w:r>
              <w:rPr/>
              <w:t>​</w:t>
            </w:r>
            <w:bookmarkStart w:id="116" w:name=".symb.53"/>
            <w:bookmarkStart w:id="117" w:name=".symb.54"/>
            <w:bookmarkEnd w:id="116"/>
            <w:bookmarkEnd w:id="11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8" w:name=".amt.53"/>
            <w:bookmarkStart w:id="119" w:name=".amt.54"/>
            <w:bookmarkEnd w:id="118"/>
            <w:bookmarkEnd w:id="119"/>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0.61</w:t>
            </w:r>
            <w:bookmarkStart w:id="120" w:name=".trail.53"/>
            <w:bookmarkStart w:id="121" w:name=".trail.54"/>
            <w:bookmarkEnd w:id="120"/>
            <w:bookmarkEnd w:id="121"/>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Partnership previously declared its second quarter distribution in the amount of $1.272943 per common unit payable on August 13, 2026 to common unitholders of record as of August 3, 2026. The Partnership’s cash distributions are not comparable to its net earnings due to timing and other differences including depletion.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Dorchester Minerals, L.P. is a Dallas-based owner of producing and non-producing oil and natural gas mineral, royalty, overriding royalty, net profits, and leasehold interests located in 28 states. Its common units trade on the Nasdaq Global Select Market under the symbol DMLP.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Portions of this document may constitute “forward-looking statements” as defined by federal law. Such statements are subject to certain risks, uncertainties and assumptions. Should one or more of these risks or uncertainties materialize, or should underlying assumptions prove incorrect, actual results may vary materially from those anticipated, estimated or projected. Examples of such uncertainties and risk factors include, but are not limited to, changes in the price or demand for oil and natural gas, changes in the operations on or development of the Partnership’s properties, changes in economic and industry conditions and changes in regulatory requirements (including changes in environmental requirements) and the Partnership’s financial position, business strategy and other plans and objectives for future operations. These and other factors are set forth in the Partnership's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7439</Words>
  <Characters>40142</Characters>
  <CharactersWithSpaces>47878</CharactersWithSpaces>
  <Paragraphs>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