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4" w:lineRule="exact"/>
        <w:rPr>
          <w:sz w:val="24"/>
          <w:szCs w:val="24"/>
          <w:color w:val="auto"/>
        </w:rPr>
      </w:pPr>
    </w:p>
    <w:p>
      <w:pPr>
        <w:jc w:val="both"/>
        <w:ind w:left="3100" w:right="3080" w:hanging="13"/>
        <w:spacing w:after="0" w:line="268" w:lineRule="auto"/>
        <w:tabs>
          <w:tab w:leader="none" w:pos="3298"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180" w:hanging="207"/>
        <w:spacing w:after="0"/>
        <w:tabs>
          <w:tab w:leader="none" w:pos="31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w:t>
      </w:r>
    </w:p>
    <w:tbl>
      <w:tblPr>
        <w:tblLayout w:type="fixed"/>
        <w:tblInd w:w="3080" w:type="dxa"/>
        <w:tblCellMar>
          <w:top w:w="0" w:type="dxa"/>
          <w:left w:w="0" w:type="dxa"/>
          <w:bottom w:w="0" w:type="dxa"/>
          <w:right w:w="0" w:type="dxa"/>
        </w:tblCellMar>
      </w:tblPr>
      <w:tr>
        <w:trPr>
          <w:trHeight w:val="190"/>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Exchange Act of 1934 for the transition Period from</w:t>
            </w:r>
          </w:p>
        </w:tc>
        <w:tc>
          <w:tcPr>
            <w:tcW w:w="400" w:type="dxa"/>
            <w:vAlign w:val="bottom"/>
            <w:tcBorders>
              <w:bottom w:val="single" w:sz="8" w:color="auto"/>
            </w:tcBorders>
          </w:tcPr>
          <w:p>
            <w:pPr>
              <w:spacing w:after="0"/>
              <w:rPr>
                <w:sz w:val="16"/>
                <w:szCs w:val="16"/>
                <w:color w:val="auto"/>
              </w:rPr>
            </w:pP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37"/>
        </w:trPr>
        <w:tc>
          <w:tcPr>
            <w:tcW w:w="4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Commission File Number: 000-50175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4929505</wp:posOffset>
            </wp:positionH>
            <wp:positionV relativeFrom="paragraph">
              <wp:posOffset>-162560</wp:posOffset>
            </wp:positionV>
            <wp:extent cx="256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DORCHESTER MINERALS,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bl>
      <w:tblPr>
        <w:tblLayout w:type="fixed"/>
        <w:tblInd w:w="1640" w:type="dxa"/>
        <w:tblCellMar>
          <w:top w:w="0" w:type="dxa"/>
          <w:left w:w="0" w:type="dxa"/>
          <w:bottom w:w="0" w:type="dxa"/>
          <w:right w:w="0" w:type="dxa"/>
        </w:tblCellMar>
      </w:tblPr>
      <w:tr>
        <w:trPr>
          <w:trHeight w:val="201"/>
        </w:trPr>
        <w:tc>
          <w:tcPr>
            <w:tcW w:w="252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5640" w:type="dxa"/>
            <w:vAlign w:val="bottom"/>
          </w:tcPr>
          <w:p>
            <w:pPr>
              <w:jc w:val="right"/>
              <w:ind w:right="850"/>
              <w:spacing w:after="0" w:line="201" w:lineRule="exact"/>
              <w:rPr>
                <w:sz w:val="20"/>
                <w:szCs w:val="20"/>
                <w:color w:val="auto"/>
              </w:rPr>
            </w:pPr>
            <w:r>
              <w:rPr>
                <w:rFonts w:ascii="Times New Roman" w:cs="Times New Roman" w:eastAsia="Times New Roman" w:hAnsi="Times New Roman"/>
                <w:sz w:val="18"/>
                <w:szCs w:val="18"/>
                <w:b w:val="1"/>
                <w:bCs w:val="1"/>
                <w:color w:val="auto"/>
              </w:rPr>
              <w:t>81-0551518</w:t>
            </w:r>
          </w:p>
        </w:tc>
        <w:tc>
          <w:tcPr>
            <w:tcW w:w="0" w:type="dxa"/>
            <w:vAlign w:val="bottom"/>
          </w:tcPr>
          <w:p>
            <w:pPr>
              <w:spacing w:after="0"/>
              <w:rPr>
                <w:sz w:val="1"/>
                <w:szCs w:val="1"/>
                <w:color w:val="auto"/>
              </w:rPr>
            </w:pPr>
          </w:p>
        </w:tc>
      </w:tr>
      <w:tr>
        <w:trPr>
          <w:trHeight w:val="216"/>
        </w:trPr>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64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238"/>
        </w:trPr>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3838 Oak Lawn Avenue, Suite 300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559-0300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80" w:type="dxa"/>
            <w:vAlign w:val="bottom"/>
          </w:tcPr>
          <w:p>
            <w:pPr>
              <w:spacing w:after="0"/>
              <w:rPr>
                <w:sz w:val="18"/>
                <w:szCs w:val="18"/>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Units Representing Limited</w:t>
            </w:r>
          </w:p>
        </w:tc>
        <w:tc>
          <w:tcPr>
            <w:tcW w:w="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234"/>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Partnership Interest</w:t>
            </w:r>
          </w:p>
        </w:tc>
        <w:tc>
          <w:tcPr>
            <w:tcW w:w="2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DMLP</w:t>
            </w:r>
          </w:p>
        </w:tc>
        <w:tc>
          <w:tcPr>
            <w:tcW w:w="28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Title of Class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66" w:lineRule="exact"/>
        <w:rPr>
          <w:sz w:val="24"/>
          <w:szCs w:val="24"/>
          <w:color w:val="auto"/>
        </w:rPr>
      </w:pPr>
    </w:p>
    <w:p>
      <w:pPr>
        <w:ind w:right="1800"/>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0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6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892" w:gutter="0" w:footer="0" w:header="0"/>
        </w:sectPr>
      </w:pPr>
    </w:p>
    <w:p>
      <w:pPr>
        <w:spacing w:after="0" w:line="2" w:lineRule="exact"/>
        <w:rPr>
          <w:sz w:val="24"/>
          <w:szCs w:val="24"/>
          <w:color w:val="auto"/>
        </w:rPr>
      </w:pPr>
    </w:p>
    <w:p>
      <w:pPr>
        <w:ind w:left="340"/>
        <w:spacing w:after="0" w:line="207" w:lineRule="exact"/>
        <w:tabs>
          <w:tab w:leader="none" w:pos="35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 w:lineRule="exact"/>
        <w:rPr>
          <w:sz w:val="24"/>
          <w:szCs w:val="24"/>
          <w:color w:val="auto"/>
        </w:rPr>
      </w:pPr>
    </w:p>
    <w:p>
      <w:pPr>
        <w:ind w:left="340"/>
        <w:spacing w:after="0" w:line="207" w:lineRule="exact"/>
        <w:tabs>
          <w:tab w:leader="none" w:pos="3500" w:val="left"/>
        </w:tabs>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64" w:lineRule="exact"/>
        <w:rPr>
          <w:sz w:val="24"/>
          <w:szCs w:val="24"/>
          <w:color w:val="auto"/>
        </w:rPr>
      </w:pPr>
    </w:p>
    <w:p>
      <w:pPr>
        <w:sectPr>
          <w:pgSz w:w="11900" w:h="16838" w:orient="portrait"/>
          <w:cols w:equalWidth="0" w:num="2">
            <w:col w:w="5680" w:space="560"/>
            <w:col w:w="5000"/>
          </w:cols>
          <w:pgMar w:left="320" w:top="688" w:right="339" w:bottom="892" w:gutter="0" w:footer="0" w:header="0"/>
          <w:type w:val="continuous"/>
        </w:sectPr>
      </w:pPr>
    </w:p>
    <w:p>
      <w:pPr>
        <w:ind w:right="160"/>
        <w:spacing w:after="0" w:line="20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4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300"/>
        <w:spacing w:after="0" w:line="21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ind w:right="10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220"/>
        <w:spacing w:after="0" w:line="249" w:lineRule="auto"/>
        <w:rPr>
          <w:sz w:val="20"/>
          <w:szCs w:val="20"/>
          <w:color w:val="auto"/>
        </w:rPr>
      </w:pPr>
      <w:r>
        <w:rPr>
          <w:rFonts w:ascii="Times New Roman" w:cs="Times New Roman" w:eastAsia="Times New Roman" w:hAnsi="Times New Roman"/>
          <w:sz w:val="18"/>
          <w:szCs w:val="18"/>
          <w:color w:val="auto"/>
        </w:rPr>
        <w:t>The aggregate market value of the common units held by non-affiliates of the registrant (treating all managers, executive officers and 10% unitholders of the registrant as if they may be affiliates of the registrant) was approximately $1,238,406,846 as of the last business day of the registrant’s most recently completed second fiscal quarter, based on $27.86 per unit, the closing price of the common units as reported on the NASDAQ Global Select Market on such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Common Units outstanding as of February 24, 2026: 48,255,450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Portions of the definitive proxy statement for the registrant's 2026 Annual Meeting of Unitholders are incorporated by reference in Part III of this Form 10-K. Such definitive proxy statement will be filed with the Securities and Exchange Commission not later than 120 days subsequent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89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14"/>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1"/>
              </w:rPr>
              <w:t>BUSINESS</w:t>
            </w:r>
          </w:p>
        </w:tc>
        <w:tc>
          <w:tcPr>
            <w:tcW w:w="9100" w:type="dxa"/>
            <w:vAlign w:val="bottom"/>
            <w:gridSpan w:val="24"/>
          </w:tcPr>
          <w:p>
            <w:pPr>
              <w:spacing w:after="0"/>
              <w:rPr>
                <w:sz w:val="24"/>
                <w:szCs w:val="24"/>
                <w:color w:val="auto"/>
              </w:rPr>
            </w:pP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660" w:type="dxa"/>
            <w:vAlign w:val="bottom"/>
            <w:gridSpan w:val="22"/>
          </w:tcPr>
          <w:p>
            <w:pPr>
              <w:spacing w:after="0"/>
              <w:rPr>
                <w:sz w:val="24"/>
                <w:szCs w:val="24"/>
                <w:color w:val="auto"/>
              </w:rPr>
            </w:pP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28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7100" w:type="dxa"/>
            <w:vAlign w:val="bottom"/>
            <w:gridSpan w:val="14"/>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4"/>
              </w:rPr>
              <w:t>PROPERTIES</w:t>
            </w:r>
          </w:p>
        </w:tc>
        <w:tc>
          <w:tcPr>
            <w:tcW w:w="440" w:type="dxa"/>
            <w:vAlign w:val="bottom"/>
            <w:gridSpan w:val="2"/>
          </w:tcPr>
          <w:p>
            <w:pPr>
              <w:spacing w:after="0"/>
              <w:rPr>
                <w:sz w:val="24"/>
                <w:szCs w:val="24"/>
                <w:color w:val="auto"/>
              </w:rPr>
            </w:pPr>
          </w:p>
        </w:tc>
        <w:tc>
          <w:tcPr>
            <w:tcW w:w="8440" w:type="dxa"/>
            <w:vAlign w:val="bottom"/>
            <w:gridSpan w:val="21"/>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UNITHOLDER MATTERS AND ISSUER PURCHASES OF</w:t>
            </w:r>
          </w:p>
        </w:tc>
        <w:tc>
          <w:tcPr>
            <w:tcW w:w="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EE"/>
                <w:w w:val="99"/>
              </w:rPr>
              <w:t>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9460" w:type="dxa"/>
            <w:vAlign w:val="bottom"/>
            <w:tcBorders>
              <w:top w:val="single" w:sz="8" w:color="0000EE"/>
            </w:tcBorders>
            <w:gridSpan w:val="26"/>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460" w:type="dxa"/>
            <w:vAlign w:val="bottom"/>
            <w:vMerge w:val="restart"/>
          </w:tcPr>
          <w:p>
            <w:pPr>
              <w:spacing w:after="0"/>
              <w:rPr>
                <w:sz w:val="7"/>
                <w:szCs w:val="7"/>
                <w:color w:val="auto"/>
              </w:rPr>
            </w:pPr>
          </w:p>
        </w:tc>
        <w:tc>
          <w:tcPr>
            <w:tcW w:w="24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460" w:type="dxa"/>
            <w:vAlign w:val="bottom"/>
            <w:tcBorders>
              <w:top w:val="single" w:sz="8" w:color="0000EE"/>
            </w:tcBorders>
            <w:gridSpan w:val="26"/>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7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[RESERVED]</w:t>
            </w:r>
          </w:p>
        </w:tc>
        <w:tc>
          <w:tcPr>
            <w:tcW w:w="8180" w:type="dxa"/>
            <w:vAlign w:val="bottom"/>
            <w:gridSpan w:val="20"/>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000" w:type="dxa"/>
            <w:vAlign w:val="bottom"/>
            <w:gridSpan w:val="4"/>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gridSpan w:val="4"/>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6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780" w:type="dxa"/>
            <w:vAlign w:val="bottom"/>
            <w:gridSpan w:val="7"/>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820" w:type="dxa"/>
            <w:vAlign w:val="bottom"/>
            <w:gridSpan w:val="3"/>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gridSpan w:val="3"/>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700" w:type="dxa"/>
            <w:vAlign w:val="bottom"/>
            <w:gridSpan w:val="3"/>
          </w:tcPr>
          <w:p>
            <w:pPr>
              <w:spacing w:after="0"/>
              <w:rPr>
                <w:sz w:val="24"/>
                <w:szCs w:val="24"/>
                <w:color w:val="auto"/>
              </w:rPr>
            </w:pPr>
          </w:p>
        </w:tc>
        <w:tc>
          <w:tcPr>
            <w:tcW w:w="7320" w:type="dxa"/>
            <w:vAlign w:val="bottom"/>
            <w:gridSpan w:val="15"/>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DISCLOSURE REGARDING FOREIGN JURSIDICTIONS THAT PREVENT INSPECTIONS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24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3340" w:type="dxa"/>
            <w:vAlign w:val="bottom"/>
            <w:gridSpan w:val="8"/>
          </w:tcPr>
          <w:p>
            <w:pPr>
              <w:spacing w:after="0"/>
              <w:rPr>
                <w:sz w:val="24"/>
                <w:szCs w:val="24"/>
                <w:color w:val="auto"/>
              </w:rPr>
            </w:pPr>
          </w:p>
        </w:tc>
        <w:tc>
          <w:tcPr>
            <w:tcW w:w="4120" w:type="dxa"/>
            <w:vAlign w:val="bottom"/>
            <w:gridSpan w:val="8"/>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92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UNITHOLDER</w:t>
            </w:r>
          </w:p>
        </w:tc>
        <w:tc>
          <w:tcPr>
            <w:tcW w:w="700" w:type="dxa"/>
            <w:vAlign w:val="bottom"/>
            <w:gridSpan w:val="2"/>
          </w:tcPr>
          <w:p>
            <w:pPr>
              <w:spacing w:after="0"/>
              <w:rPr>
                <w:sz w:val="24"/>
                <w:szCs w:val="24"/>
                <w:color w:val="auto"/>
              </w:rPr>
            </w:pPr>
          </w:p>
        </w:tc>
        <w:tc>
          <w:tcPr>
            <w:tcW w:w="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9920" w:type="dxa"/>
            <w:vAlign w:val="bottom"/>
            <w:gridSpan w:val="27"/>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240" w:type="dxa"/>
            <w:vAlign w:val="bottom"/>
            <w:gridSpan w:val="5"/>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9920" w:type="dxa"/>
            <w:vAlign w:val="bottom"/>
            <w:gridSpan w:val="27"/>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24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77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2220" w:type="dxa"/>
            <w:vAlign w:val="bottom"/>
            <w:gridSpan w:val="5"/>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4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5480" w:type="dxa"/>
            <w:vAlign w:val="bottom"/>
            <w:gridSpan w:val="10"/>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24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FORM 10-K SUMMARY</w:t>
            </w:r>
          </w:p>
        </w:tc>
        <w:tc>
          <w:tcPr>
            <w:tcW w:w="2540" w:type="dxa"/>
            <w:vAlign w:val="bottom"/>
            <w:gridSpan w:val="8"/>
          </w:tcPr>
          <w:p>
            <w:pPr>
              <w:spacing w:after="0"/>
              <w:rPr>
                <w:sz w:val="24"/>
                <w:szCs w:val="24"/>
                <w:color w:val="auto"/>
              </w:rPr>
            </w:pPr>
          </w:p>
        </w:tc>
        <w:tc>
          <w:tcPr>
            <w:tcW w:w="5480" w:type="dxa"/>
            <w:vAlign w:val="bottom"/>
            <w:gridSpan w:val="10"/>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GLOSSARY OF CERTAIN OIL AND NATURAL GAS TERMS</w:t>
            </w:r>
          </w:p>
        </w:tc>
        <w:tc>
          <w:tcPr>
            <w:tcW w:w="5860" w:type="dxa"/>
            <w:vAlign w:val="bottom"/>
            <w:gridSpan w:val="11"/>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3540" w:type="dxa"/>
            <w:vAlign w:val="bottom"/>
            <w:gridSpan w:val="1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860" w:type="dxa"/>
            <w:vAlign w:val="bottom"/>
            <w:gridSpan w:val="11"/>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INDEX TO CONSOLIDATED FINANCIAL STATEMENTS</w:t>
            </w:r>
          </w:p>
        </w:tc>
        <w:tc>
          <w:tcPr>
            <w:tcW w:w="4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F-1</w:t>
            </w:r>
          </w:p>
        </w:tc>
        <w:tc>
          <w:tcPr>
            <w:tcW w:w="0" w:type="dxa"/>
            <w:vAlign w:val="bottom"/>
          </w:tcPr>
          <w:p>
            <w:pPr>
              <w:spacing w:after="0"/>
              <w:rPr>
                <w:sz w:val="1"/>
                <w:szCs w:val="1"/>
                <w:color w:val="auto"/>
              </w:rPr>
            </w:pPr>
          </w:p>
        </w:tc>
      </w:tr>
      <w:tr>
        <w:trPr>
          <w:trHeight w:val="594"/>
        </w:trPr>
        <w:tc>
          <w:tcPr>
            <w:tcW w:w="9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 xml:space="preserve">Dorchester Minerals, L.P. is a publicly traded Delaware limited partnership that commenced operations on January 31, 2003, upon the combination of Dorchester Hugoton, Ltd., Republic Royalty Company, L.P. and Spinnaker Royalty Company, L.P. Dorchester Hugoton was a publicly traded Texas limited partnership, and Republic and Spinnaker were private Texas limited partnerships. We have established a website at </w:t>
      </w:r>
      <w:r>
        <w:rPr>
          <w:rFonts w:ascii="Times New Roman" w:cs="Times New Roman" w:eastAsia="Times New Roman" w:hAnsi="Times New Roman"/>
          <w:sz w:val="17"/>
          <w:szCs w:val="17"/>
          <w:u w:val="single" w:color="auto"/>
          <w:color w:val="auto"/>
        </w:rPr>
        <w:t>www.dmlp.net</w:t>
      </w:r>
      <w:r>
        <w:rPr>
          <w:rFonts w:ascii="Times New Roman" w:cs="Times New Roman" w:eastAsia="Times New Roman" w:hAnsi="Times New Roman"/>
          <w:sz w:val="17"/>
          <w:szCs w:val="17"/>
          <w:color w:val="auto"/>
        </w:rPr>
        <w:t xml:space="preserve"> that contains the last annual meeting presentation. You may obtain all current filings free of charge through our website. We will provide electronic or paper copies of our annual report on Form 10-K, quarterly reports on Form 10-Q, current reports on Form 8-K and amendments to those reports filed or furnished to the Securities and Exchange Commission (“SEC”) free of charge upon written request at our executive offices. In this report, the term "Partnership," as well as the terms "us," "our," "we," and "its" are sometimes used as abbreviated references to Dorchester Minerals, L.P. itself or Dorchester Minerals, L.P. and its related entities.</w:t>
      </w:r>
    </w:p>
    <w:p>
      <w:pPr>
        <w:spacing w:after="0" w:line="17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general partner is Dorchester Minerals Management LP, which is managed by its general partner, Dorchester Minerals Management GP LLC. As a result, the Board of Managers of Dorchester Minerals Management GP LLC exercises effective control of the Partnership. In this report, the term "General Partner" is used as an abbreviated reference to Dorchester Minerals Management LP. Our General Partner also controls and owns, directly and indirectly, all of the Partnership interests in Dorchester Minerals Operating LP and its general partner. Dorchester Minerals Operating LP owns working interests and other properties underlying our Net Profits Interest (or “NPI”), provides day-to-day operational and administrative services to us and our General Partner, and is the employer of all the employees who perform such services. In this report, the term "Operating Partnership" is used as an abbreviated reference to Dorchester Minerals Operating LP. Our General Partner and the Operating Partnership are Delaware limited partnerships, and the general partners of their general partners are Delaware limited liability companies.</w:t>
      </w:r>
    </w:p>
    <w:p>
      <w:pPr>
        <w:spacing w:after="0" w:line="19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On March 28, 2024, pursuant to a non-taxable contribution and exchange agreement with multiple unrelated third parties, the Partnership acquired mineral interests totaling approximately 1,485 net royalty acres located in two counties in Colorado in exchange for 505,369 common units representing limited partnership interests in the Partnership issued pursuant to the Partnership’s registration statement on Form S-4.</w:t>
      </w:r>
    </w:p>
    <w:p>
      <w:pPr>
        <w:spacing w:after="0" w:line="176" w:lineRule="exact"/>
        <w:rPr>
          <w:sz w:val="20"/>
          <w:szCs w:val="20"/>
          <w:color w:val="auto"/>
        </w:rPr>
      </w:pPr>
    </w:p>
    <w:p>
      <w:pPr>
        <w:ind w:right="700" w:firstLine="324"/>
        <w:spacing w:after="0" w:line="266" w:lineRule="auto"/>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an unrelated third party, the Partnership acquired royalty interests totaling approximately 1,204 net royalty acres located in Weld County, Colorado in exchange for 530,000 common units representing limited partnership interests in the Partnership issued pursuant to the Partnership’s registration statement on Form S-4.</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West Texas Minerals LLC, a Delaware limited liability company, Carrollton Mineral Partners, LP, a Texas limited partnership, Carrollton Mineral Partners Fund II, LP, a Texas limited partnership, Carrollton Mineral Partners III, LP, a Texas limited partnership, Carrollton Mineral Partners III-B, LP, a Texas limited partnership, Carrollton Mineral Partners IV, LP, a Texas limited partnership, CMP Permian, LP, a Texas limited partnership, CMP Glasscock, LP, a Texas limited partnership, and Carrollton Royalty, LP, a Texas limited partnership, the Partnership acquired mineral, royalty, and overriding royalty interests in producing and non-producing oil and natural gas properties representing approximately 14,225 net mineral acres located in 14 counties across New Mexico and Texas in exchange for 6,721,144 common units representing limited partnership interests in the Partnership issued pursuant to the Partnership’s registration statements on Form S-4.</w:t>
      </w:r>
    </w:p>
    <w:p>
      <w:pPr>
        <w:spacing w:after="0" w:line="18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On August 29, 2025, pursuant to a non-taxable contribution and exchange agreement with multiple unrelated third parties, the Partnership acquired mineral interests totaling approximately 3,050 net royalty acres located in Adams County, Colorado in exchange for 915,694 common units representing limited partnership interests in the Partnership issued pursuant to the Partnership’s registration statement on Form S-4.</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primary business objective is to provide an attractive yield to our unitholders by focusing on strategically managing our assets and protecting our balance sheet, while striving to minimize our cost structure. We intend to accomplish this objective by executing the following strategies:</w:t>
      </w:r>
    </w:p>
    <w:p>
      <w:pPr>
        <w:spacing w:after="0" w:line="158" w:lineRule="exact"/>
        <w:rPr>
          <w:sz w:val="20"/>
          <w:szCs w:val="20"/>
          <w:color w:val="auto"/>
        </w:rPr>
      </w:pPr>
    </w:p>
    <w:p>
      <w:pPr>
        <w:jc w:val="both"/>
        <w:ind w:left="660" w:right="34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Capitalize on the development of the properties underlying our mineral interests. </w:t>
      </w:r>
      <w:r>
        <w:rPr>
          <w:rFonts w:ascii="Times New Roman" w:cs="Times New Roman" w:eastAsia="Times New Roman" w:hAnsi="Times New Roman"/>
          <w:sz w:val="18"/>
          <w:szCs w:val="18"/>
          <w:color w:val="auto"/>
        </w:rPr>
        <w:t>Production from our mineral interests could increase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operators continue to drill, complete and develop our acreage. We expect to benefit from continued operator development and believe the new production will help offset other mature property production declines.</w:t>
      </w:r>
    </w:p>
    <w:p>
      <w:pPr>
        <w:spacing w:after="0" w:line="17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Seek to acquire from time to time, accretive mineral or other interests in producing oil and natural gas properties. </w:t>
      </w:r>
      <w:r>
        <w:rPr>
          <w:rFonts w:ascii="Times New Roman" w:cs="Times New Roman" w:eastAsia="Times New Roman" w:hAnsi="Times New Roman"/>
          <w:sz w:val="18"/>
          <w:szCs w:val="18"/>
          <w:color w:val="auto"/>
        </w:rPr>
        <w:t>Since our formation,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acquired, and may have additional opportunities from time to time in the future to acquire, mineral, royalty, or net profits interests in producing or non-producing oil and natural gas properties. We prefer to issue equity as consideration in non-taxable contribution and exchange transactions.</w:t>
      </w:r>
    </w:p>
    <w:p>
      <w:pPr>
        <w:spacing w:after="0" w:line="176" w:lineRule="exact"/>
        <w:rPr>
          <w:rFonts w:ascii="Times New Roman" w:cs="Times New Roman" w:eastAsia="Times New Roman" w:hAnsi="Times New Roman"/>
          <w:sz w:val="18"/>
          <w:szCs w:val="18"/>
          <w:color w:val="auto"/>
        </w:rPr>
      </w:pPr>
    </w:p>
    <w:p>
      <w:pPr>
        <w:ind w:left="660" w:right="48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a conservative capital structure. </w:t>
      </w:r>
      <w:r>
        <w:rPr>
          <w:rFonts w:ascii="Times New Roman" w:cs="Times New Roman" w:eastAsia="Times New Roman" w:hAnsi="Times New Roman"/>
          <w:sz w:val="18"/>
          <w:szCs w:val="18"/>
          <w:color w:val="auto"/>
        </w:rPr>
        <w:t>Since our formation, we have maintained a conservative capital structure that has allowed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opportunistically purchase accretive mineral and royalty interests. Our partnership agreement prohibits leverage which aids in our ability to successfully operate in challenging business and commodity price environments.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the acquisition, ownership, and administration of Royalty Properties and NPI. The NPI represents a net profits overriding royalty interest burdening various properties owned by the Operating Partnership. We receive monthly payments equaling 96.97% of the net profits realized by the Operating Partnership from these properties in the preceding month. The Royalty Properties consist of producing and nonproducing mineral, royalty, overriding royalty, net profits, and leasehold interests located in 594 counties and parishes in 28 states (“Royalty Properties”).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partnership agreement requires that we make a quarterly distribution in an amount equal to 100% of available cash. Available cash is defined as all cash and cash equivalents of the Partnership on hand at the end of that quarter (including any previously reserved cash for acquisitions that has not been used on or prior to the last business day of that quarter other than cash proceeds received by the Partnership from a public or private offering of securities of the Partnership and cash proceeds from a sale of assets of the Partnership that the Partnership intends to use in an asset swap or other similar transaction), less the amount of any cash reserves that our General Partner determines is necessary or appropriate to provide for the conduct of the Partnership’s business or to comply with applicable laws or agreements or obligations to which we may be subject, provided, however, that cash reserves for acquisitions may only be excluded from the calculation of available cash to the extent such reservation does not exceed the cash reserve limitation. The cash reserve limitation is defined as 10% of the Partnership's aggregate cash distributions for the two immediately prior quarters, provided that any cash reserved for acquisitions in any prior period (other than a reservation made in the immediately prior quarter) that has not been used for, or otherwise committed to, an acquisition on or prior to the last business day of such quarter shall no longer be reserved from available cash. Our practice is to accrue funds quarterly for amounts incurred throughout the year but invoiced and paid annually or semi-annually (e.g. ad valorem taxes and professional services). These amounts generally are not held for periods over one year.</w:t>
      </w:r>
    </w:p>
    <w:p>
      <w:pPr>
        <w:spacing w:after="0" w:line="190"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allows us to grow by acquiring additional oil and natural gas properties, subject to the limitations described below. The approval of the holders of a majority of our outstanding common units is required for our General Partner to cause us to acquire or obtain any oil and natural gas property interest, unless the acquisition is complementary to our business and is made either:</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our limited partner interests, including common units, not exceeding 40% of the common units outstanding after issuance; or</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cash proceeds of any public or private offer and sale of limited partner interests, including common units, or options, rights, warrants, or appreciation rights relating to the limited partner interests, including common units; or</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other cash from our operations, if the aggregate cost of any acquisitions made for cash during the twelve-month period ending on the first to occur of the execution of a definitive agreement for the acquisition or its consummation is no more than the cash reserve limitation, as defined above;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any combination of the foregoing clauses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and Financing Plans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have a credit facility in place, nor do we anticipate doing so. We do not anticipate incurring any debt, other than trade debt incurred in the ordinary course of our business. To the extent necessary to avoid unrelated business taxable income, our partnership agreement prohibits us from incurring indebtedness, excluding trade payables, in excess of $50,000 in the aggregate at any given time or which would constitute "acquisition indebtedness" (as defined in Section 514 of the Internal Revenue Code of 1986, as amended). We may finance any growth of our business through acquisitions of oil and natural gas properties by issuing additional limited partnership interests or with cash, subject to the limits described above and in our partnership agreement.</w:t>
      </w:r>
    </w:p>
    <w:p>
      <w:pPr>
        <w:spacing w:after="0" w:line="18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Under our partnership agreement, we may also finance our growth through the issuance of additional partnership securities, including options, rights, warrants and appreciation rights with respect to partnership securities from time to time in exchange for the consideration and on the terms and conditions established by our General Partner in its sole discretion. However, we may not issue limited partnership interests that would represent over 40% of the outstanding limited partnership interests immediately after giving effect to such issuance or that would have greater rights or powers than our common units without the approval of the holders of a majority of our outstanding common units. Except in connection with qualifying acquisitions, we do not currently anticipate issuing additional partnership securities. We have effective registration statements registering 22,659,982 common units that may be offered and issued by the Partnership from time to time in connection with asset acquisitions or other business combination transactions. At present, 19,084,306 units remain available under the Partnership’s registration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Many aspects of the production, pricing and marketing of oil and natural gas are regulated by federal and state agencies. Legislation affecting the oil and natural gas industry is under constant review for amendment or expansion, which frequently increases the regulatory burden on affected members of the industry. These laws and regulations have the potential to impact production on our properties, which could materially adversely affect our business and our prospects. Numerous federal, state, and local governmental agencies issue regulations that carry substantial administrative, civil, and criminal penalties and may result in injunctive obligations for non-compliance. Such regulation includes:</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for the drilling of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bonding requirements in order to drill or operate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drilling and completing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surface use and restoration of properties upon which wells are drilled;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plugging and abandonment of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federal and state safety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taxes and severance taxes;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state and federal income tax provisions.</w:t>
      </w:r>
    </w:p>
    <w:p>
      <w:pPr>
        <w:sectPr>
          <w:pgSz w:w="11900" w:h="16838" w:orient="portrait"/>
          <w:cols w:equalWidth="0" w:num="1">
            <w:col w:w="11240"/>
          </w:cols>
          <w:pgMar w:left="320" w:top="121" w:right="339" w:bottom="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strict, joint, and several liability nature of such laws and regulations could impose liability on our operators regardless of fault. Moreover, it is not uncommon for neighboring landowners and other third parties to file claims for personal injury and property damage allegedly caused by the release of hazardous substances, hydrocarbons, or other waste products into the environment. The long-term trend in environmental regulation has been towards more stringent regulations, and any changes that impact our operators and result in more stringent and costly pollution control could materially adversely affect our business and prospects.</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Oil and natural gas operations are also subject to various conservation laws and regulations. These regulations govern the size of drilling and spacing units or proration units and the density of wells that may be drilled and the unitization or pooling of oil and natural gas properties. In addition, state conservation laws establish a maximum allowable production from oil and natural gas wells. These state laws also generally prohibit the venting or flaring of natural gas and impose certain requirements regarding the ratability of production. These regulations can limit the amount of oil and natural gas that the operators of our properties can produce.</w:t>
      </w:r>
    </w:p>
    <w:p>
      <w:pPr>
        <w:spacing w:after="0" w:line="18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transportation of oil and natural gas after sale by operators of our properties is sometimes subject to regulation by state authorities. The interstate transportation of oil and natural gas is subject to federal governmental regulation, including regulation of tariffs and various other matters, primarily by the Federal Energy Regulatory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were to lose a significant customer, such loss could impact revenue. The loss of any single customer is mitigated by our diversified customer base and individually insignificant properties, and we do not believe that the loss of any single customer would have a long-term material adverse effect on our financial position or results of operations. Royalty revenues from properties operated by Exxon Mobil Corporation and its subsidiaries and Chevron Corporation and its subsidiaries, together, represented approximately 25% of total operating revenues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Our larger or more integrated competitors may be able to absorb the burden of existing, and any changes to, federal, state, and local laws and regulations more easily than we can, which would adversely affect our competitive position.</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ability to acquire additional mineral, royalty, overriding royalty, net profits, and similar interests in the future will be dependent upon our ability to evaluate and select suitable properties and to consummate transactions in a highly competitive environment mainly by issuing equity. In addition, because we have fewer financial and human resources than many companies in our industry, we may be at a disadvantage in bidding for additional oil and natural gas properties. Further, oil and natural gas compete with other forms of energy available to customers, primarily based on price.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Opportunities Agreement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a business opportunities agreement among us, our General Partner, the general partner of our General Partner, and the owners of the general partner of our General Partner (the “GP Parties”), we have agreed that, except with the consent of our General Partner, which it may withhold in its sole discretion, we will not engage in any business not permitted by our partnership agreement, and we will have no interest or expectancy in any business opportunity that does not consist exclusively of the oil and natural gas business within a designated area that includes portions of Texas County, Oklahoma and Stevens County, Kansas. All opportunities that are outside the designated area or are not oil and natural gas business activities are called renounced opportunities.</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parties also have agreed that, as long as the activities of the General Partner, the GP Parties and their affiliates or manager designees are conducted in accordance with specified standards, or are renounced opportunities:</w:t>
      </w:r>
    </w:p>
    <w:p>
      <w:pPr>
        <w:spacing w:after="0" w:line="162" w:lineRule="exact"/>
        <w:rPr>
          <w:sz w:val="20"/>
          <w:szCs w:val="20"/>
          <w:color w:val="auto"/>
        </w:rPr>
      </w:pPr>
    </w:p>
    <w:p>
      <w:pPr>
        <w:ind w:left="660" w:right="3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the GP Parties and their affiliates or the manager designees will not be prohibited from engaging in the oil and natural gas business or any other business, even if such activity is in direct or indirect competition with our business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of our General Partner, the GP Parties and their affiliates and the manager designees will not have to offer us any business opportunity;</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no interest or expectancy in any business opportunity pursued by affiliates of our General Partner, the GP Parties or their affiliates and the manager designees; and</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waive any claim that any business opportunity pursued by our General Partner, the GP Parties or their affiliates and the manager designees constitutes a corporate opportunity that should have been presented to us.</w:t>
      </w:r>
    </w:p>
    <w:p>
      <w:pPr>
        <w:spacing w:after="0" w:line="16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standards specified in the business opportunities agreement generally provide that the GP Parties and their affiliates and manager designees must conduct their business through the use of their own personnel and assets and not with the use of any personnel or assets of us, our General Partner or Operating Partnership. A manager designee or personnel of a company in which any affiliate of our General Partner or any GP Party or their affiliates has an interest or in which a manager designee is an owner, director, manager, partner or employee (except for our General Partner and its general partner and their subsidiaries) is not allowed to usurp a business opportunity solely for his or her personal benefit, as opposed to pursuing, for the benefit of the separate party an opportunity in accordance with the specified standards.</w:t>
      </w:r>
    </w:p>
    <w:p>
      <w:pPr>
        <w:sectPr>
          <w:pgSz w:w="11900" w:h="16838" w:orient="portrait"/>
          <w:cols w:equalWidth="0" w:num="1">
            <w:col w:w="11220"/>
          </w:cols>
          <w:pgMar w:left="320" w:top="121" w:right="359" w:bottom="605"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605"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In certain circumstances, if a GP Party or any subsidiary thereof, any officer of the general partner of our General Partner or any of their subsidiaries, or a manager of the general partner of our General Partner that is an affiliate of a GP Party signs a binding agreement to purchase oil and natural gas interests, excluding oil and natural gas working interests, then such party must notify us prior to the consummation of the transactions so that we may determine whether to pursue the purchase of the oil and natural gas interests directly from the seller. If we do not pursue the purchase of the oil and natural gas interests or fail to respond to the purchasing party's notice within the provided time, the opportunity will also be considered a renounced opportunity.</w:t>
      </w:r>
    </w:p>
    <w:p>
      <w:pPr>
        <w:spacing w:after="0" w:line="16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the event any GP Party or one of their subsidiaries acquires an oil and natural gas interest, including oil and natural gas working interests, in the designated area, it will offer to sell these interests to us within one month of completing the acquisition. This obligation also applies to any package of oil and natural gas interests, including oil and natural gas working interests, if at least 20% of the net acreage of the package is within the designated area; however, this obligation does not apply to interests purchased in a transaction in which the procedures described above were applied and followed by the applicable affiliate.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Hazards and Uninsured Risks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operations do not directly involve the operational risks and uncertainties associated with drilling for, and the production and transportation of, oil and natural gas. However, we may be indirectly affected by the operational risks and uncertainties faced by the operators of our properties, whose operations may be materially curtailed, delayed or canceled as a result of numerous factors, including: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unanticipated pressure or irregularities in formations;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problems;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requirements;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delivery of equipment.</w:t>
      </w:r>
    </w:p>
    <w:p>
      <w:pPr>
        <w:spacing w:after="0" w:line="25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Also, the ability of the operators of our properties to market oil and natural gas production depends on numerous factors, many of which are beyond their control, including:</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availability of oil and natural gas systems and pipelines;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federal and state production and transportation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for oil and natural gas;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the purchasers of oil and natural gas.</w:t>
      </w:r>
    </w:p>
    <w:p>
      <w:pPr>
        <w:spacing w:after="0" w:line="25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occurrence of an operational risk or uncertainty that materially impacts the operations of the operators of our properties could have a material adverse effect on the amount that we receive in connection with our interests in production from our properties, which could have a material adverse effect on our financial condition or result of operations.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customary industry practices, we maintain insurance against some, but not all, of the risks to which our business exposes us. While we believe that we are reasonably insured against these risks, the occurrence of an uninsured loss could have a material adverse effect on our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As of February 24, 2026, the Operating Partnership had 26 full-time employees in our Dallas, Texas corporate office. Our workforce is our most important asset, and we structure compensation and benefit programs to attract and retain high quality colleagues while providing a flexible hybrid work environment. Our compensation and benefit programs include but are not limited to cash and equity bonuses, a SEP IRA plan, insurance plans, and long-term incentives. We support employees in continual training and professional skill development. We offer annual training on compliance, safety, and leadership.</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and value hiring employees with varied personal and professional backgrounds, perspectives and experiences, promoting a culture of diversity and inclusion. The diversity of our employees is a tremendous asset, and we are firmly committed to providing equal opportunity in all aspects of employment and will not tolerate acts of discrimination or harassment. We are committed to employing and advancing in employment all persons without regard to their race, color, sex, religion, national origin, citizenship, age, gender identity, sexual orientation, marital status, genetic information, veteran status, disability, or other protected categories.</w:t>
      </w:r>
    </w:p>
    <w:p>
      <w:pPr>
        <w:sectPr>
          <w:pgSz w:w="11900" w:h="16838" w:orient="portrait"/>
          <w:cols w:equalWidth="0" w:num="1">
            <w:col w:w="11180"/>
          </w:cols>
          <w:pgMar w:left="320" w:top="121" w:right="399" w:bottom="794"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794"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cash distributions are highly dependent on oil and natural gas prices, which have historically been very volatile.</w:t>
      </w:r>
    </w:p>
    <w:p>
      <w:pPr>
        <w:spacing w:after="0" w:line="22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quarterly cash distributions depend significantly on the prices realized from the sale of natural gas and, in particular, oil. Historically, the markets for oil and natural gas have been volatile and may continue to be volatile in the future. Various factors that are beyond our control will affect prices of oil and natural gas, such as:</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worldwide and domestic supplies of oil and natural gas;</w:t>
      </w:r>
    </w:p>
    <w:p>
      <w:pPr>
        <w:spacing w:after="0" w:line="252"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members of the Organization of Petroleum Exporting Countries and others to agree to and maintain oil prices and production controls;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oil-producing regions;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level of foreign imports;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demand;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pipeline capacity;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w:t>
      </w:r>
    </w:p>
    <w:p>
      <w:pPr>
        <w:spacing w:after="0" w:line="25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Lower oil and natural gas prices may reduce the amount of oil and natural gas that is economic to produce and may reduce our revenues and operating income. The volatility of oil and natural gas prices reduces the accuracy of estimates of future cash distributions to unitholders.</w:t>
      </w:r>
    </w:p>
    <w:p>
      <w:pPr>
        <w:spacing w:after="0" w:line="160" w:lineRule="exact"/>
        <w:rPr>
          <w:sz w:val="20"/>
          <w:szCs w:val="20"/>
          <w:color w:val="auto"/>
        </w:rPr>
      </w:pPr>
    </w:p>
    <w:p>
      <w:pPr>
        <w:ind w:left="180" w:right="340"/>
        <w:spacing w:after="0" w:line="284" w:lineRule="auto"/>
        <w:rPr>
          <w:sz w:val="20"/>
          <w:szCs w:val="20"/>
          <w:color w:val="auto"/>
        </w:rPr>
      </w:pPr>
      <w:r>
        <w:rPr>
          <w:rFonts w:ascii="Times New Roman" w:cs="Times New Roman" w:eastAsia="Times New Roman" w:hAnsi="Times New Roman"/>
          <w:sz w:val="18"/>
          <w:szCs w:val="18"/>
          <w:i w:val="1"/>
          <w:iCs w:val="1"/>
          <w:color w:val="auto"/>
        </w:rPr>
        <w:t>We do not control operations and development of the Royalty Properties or the properties underlying the NPI, which could impact the amount of our cash distributions.</w:t>
      </w:r>
    </w:p>
    <w:p>
      <w:pPr>
        <w:spacing w:after="0" w:line="1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the owner of a fractional undivided mineral or royalty interest, we do not control the development of the Royalty or NPI properties or the volumes of oil and natural gas produced from them, and our ability to influence development of nonproducing properties is severely limited. Also, since one of our stated business objectives is to avoid the generation of unrelated business taxable income, we are prohibited from participation in the development of our properties as a working interest or other expense-bearing owner. The decision to explore or develop these properties, including infill drilling, exploration of horizons deeper or shallower than the currently producing intervals, and application of enhanced recovery techniques will be made by the operator and other working interest owners of each property (including our lessees) and may be influenced by factors beyond our control, including but not limited to oil and natural gas prices, interest rates, budgetary considerations and general industry and economic conditions.</w:t>
      </w:r>
    </w:p>
    <w:p>
      <w:pPr>
        <w:spacing w:after="0" w:line="189"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Our unitholders are not able to influence or control the operation or future development of the properties underlying the NPI. The Operating Partnership is unable to influence the operations or future development of properties that it does not operate. The current operators of the properties underlying the NPI are under no obligation to continue operating the underlying properties. Our unitholders do not have the right to replace an operator.</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lease bonus revenue depends in significant part on the actions of third parties, which are outside of our control.</w:t>
      </w:r>
    </w:p>
    <w:p>
      <w:pPr>
        <w:spacing w:after="0" w:line="227"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Portions of the Royalty Properties are unleased mineral interests. With limited exceptions, we have the right to grant leases of these interests to third parties. We anticipate receiving cash payments as bonus consideration for granting these leases in most instances. Our ability to influence third parties' decisions to become our lessees with respect to these nonproducing properties is severely limited, and those decisions may be influenced by factors beyond our control, including but not limited to oil and natural gas prices, interest rates, budgetary considerations, and general industry and economic conditions.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Operating Partnership may transfer or abandon properties that are subject to the NPI.</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General Partner, through the Operating Partnership, may at any time transfer all or part of the properties underlying the NPI. Our unitholders are not entitled to vote on any transfer; however, any such transfer must also simultaneously include the NPI at a corresponding price.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Operating Partnership or any transferee may abandon any well or property if it reasonably believes that the well or property can no longer produce in commercially economic quantities. This could result in termination of the NPI relating to the abandoned well or property.</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distributions are affected by production and other costs, most of which are outside of our control.</w:t>
      </w:r>
    </w:p>
    <w:p>
      <w:pPr>
        <w:spacing w:after="0" w:line="2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cash available for distribution that comes from our royalty and mineral interests, including the NPI, is directly affected by increases in production costs and other costs. Most of these costs are outside of our control, including costs of regulatory compliance and severance and other similar taxes. Other expenditures are dictated by business necessity, such as drilling additional wells in response to the drilling activity of others.</w:t>
      </w:r>
    </w:p>
    <w:p>
      <w:pPr>
        <w:sectPr>
          <w:pgSz w:w="11900" w:h="16838" w:orient="portrait"/>
          <w:cols w:equalWidth="0" w:num="1">
            <w:col w:w="11200"/>
          </w:cols>
          <w:pgMar w:left="320" w:top="121" w:right="379" w:bottom="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00"/>
          </w:cols>
          <w:pgMar w:left="320" w:top="121" w:right="37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oil and natural gas reserves and the underlying properties are depleting assets, and there are limitations on our ability to replace them.</w:t>
      </w:r>
    </w:p>
    <w:p>
      <w:pPr>
        <w:spacing w:after="0" w:line="227"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revenues and distributions depend in large part on the quantity of oil and natural gas produced from properties in which we hold an interest. Over time, all of our producing oil and natural gas properties will experience declines in production due to depletion of their oil and natural gas reservoirs, with the rates of decline varying by property. Replacement of reserves to maintain production levels requires maintenance, development or exploration projects on existing properties, or the acquisition of additional properties.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timing and size of maintenance, development or exploration projects will depend on the market prices of oil and natural gas and on other factors beyond our control. All of the decisions regarding implementation of such projects, including drilling or exploration on any unleased and undeveloped acreage, will be made by third parties.</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ability to increase reserves through future acquisitions is limited by restrictions on our use of operating cash and limited partnership interests for acquisitions and by our General Partner's obligation to use all reasonable efforts (such as limiting acquisitions to acquisitions of NPIs and royalty interests) to avoid unrelated business taxable income. In addition, the ability of affiliates of our General Partner to pursue business opportunities for their own accounts without tendering them to us in certain circumstances may reduce the acquisitions presented to us for consideration.</w:t>
      </w:r>
    </w:p>
    <w:p>
      <w:pPr>
        <w:spacing w:after="0" w:line="178" w:lineRule="exact"/>
        <w:rPr>
          <w:sz w:val="20"/>
          <w:szCs w:val="20"/>
          <w:color w:val="auto"/>
        </w:rPr>
      </w:pPr>
    </w:p>
    <w:p>
      <w:pPr>
        <w:ind w:left="180" w:right="160"/>
        <w:spacing w:after="0" w:line="267" w:lineRule="auto"/>
        <w:rPr>
          <w:sz w:val="20"/>
          <w:szCs w:val="20"/>
          <w:color w:val="auto"/>
        </w:rPr>
      </w:pPr>
      <w:r>
        <w:rPr>
          <w:rFonts w:ascii="Times New Roman" w:cs="Times New Roman" w:eastAsia="Times New Roman" w:hAnsi="Times New Roman"/>
          <w:sz w:val="18"/>
          <w:szCs w:val="18"/>
          <w:i w:val="1"/>
          <w:iCs w:val="1"/>
          <w:color w:val="auto"/>
        </w:rPr>
        <w:t>Acreage must be drilled before lease expiration, generally within three years, in order to hold the acreage by production. Our operators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failure to drill sufficient wells to hold acreage may result in the deferral of prospective drilling opportunities. In addition, our ORRIs may terminate if the underlying acreage is not drilled before the expiration of the applicable lease or if the lease otherwise terminates.</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Leases on oil and natural gas properties typically have a term of three years, after which they expire unless, prior to expiration, production is established within the spacing units covering the undeveloped acres. In addition, even if production or drilling is established during such primary term, if production or drilling ceases on the leased property, the lease typically terminates, subject to certain exceptions.</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Any reduction in our operators’ drilling programs, either through a reduction in capital expenditures or the unavailability of equipment, services, or supplies, could result in the expiration of existing leases. If the lease governing any of our mineral interests expires or terminates, all development rights typically revert back to us, and we may seek new lessees to explore and develop such mineral interests or in some states remain unleased. If the lease underlying any of our ORRIs expires or terminates, our ORRIs that are derived from such lease will also terminate. Any such expirations or terminations of our leases or our ORRIs could materially and adversely affect our financial condition, results of operations and cash flow.</w:t>
      </w:r>
    </w:p>
    <w:p>
      <w:pPr>
        <w:spacing w:after="0" w:line="181" w:lineRule="exact"/>
        <w:rPr>
          <w:sz w:val="20"/>
          <w:szCs w:val="20"/>
          <w:color w:val="auto"/>
        </w:rPr>
      </w:pPr>
    </w:p>
    <w:p>
      <w:pPr>
        <w:ind w:left="180" w:right="340"/>
        <w:spacing w:after="0" w:line="284" w:lineRule="auto"/>
        <w:rPr>
          <w:sz w:val="20"/>
          <w:szCs w:val="20"/>
          <w:color w:val="auto"/>
        </w:rPr>
      </w:pPr>
      <w:r>
        <w:rPr>
          <w:rFonts w:ascii="Times New Roman" w:cs="Times New Roman" w:eastAsia="Times New Roman" w:hAnsi="Times New Roman"/>
          <w:sz w:val="18"/>
          <w:szCs w:val="18"/>
          <w:i w:val="1"/>
          <w:iCs w:val="1"/>
          <w:color w:val="auto"/>
        </w:rPr>
        <w:t>If our operators suspend our right to receive royalty payments due to title or other issues, our business, financial condition, results of operations and cash flows may be adversely affected.</w:t>
      </w:r>
    </w:p>
    <w:p>
      <w:pPr>
        <w:spacing w:after="0" w:line="16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in part, on acquisitions which contribute to the growth of our reserves, production and cash generated from operations. In connection with these acquisitions, we are conveyed record title to mineral and royalty interests. Due to such changes in ownership of mineral interests, the operator of the underlying property has the right, at such operator’s discretion, to investigate and verify the title and ownership of mineral and royalty interests with respect to the properties it operates. If any title or ownership issues are not resolved to its reasonable satisfaction in accordance with customary industry standards, the operator has the right to suspend payment of the related royalty. If an operator of our properties is not satisfied with the documentation we provide to validate our ownership, such operator may suspend our royalty payment until such issues are resolved, at which time we would receive the full royalty payment which we would have otherwise received if not for the payment being suspended, without interest. Certain of our operators impose burdensome documentation requirements for title transfer and may keep royalty payments in suspense for significant periods of time. During the time that an operator puts our assets in pay suspense, we would not receive the applicable mineral or royalty payment owed to us from sales of the underlying oil or natural gas related to such mineral or royalty interest. If a significant amount of our royalty interests are placed in suspense, our results of operations and cash flow may be materially affected.</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Title to the properties in which we have an interest may be impaired by title defects.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our discretion, we may elect not to incur the expense of retaining lawyers to examine the title to our royalty and mineral interests. In such cases, we would rely upon the judgment of oil and gas lease brokers or landmen who perform the fieldwork in examining records in the appropriate governmental office before acquiring a specific royalty or mineral interest. The existence of a material title deficiency can have a significant adverse effect on the value of an interest and can further materially adversely affect our results of operations, financial condition and cash flows.</w:t>
      </w:r>
    </w:p>
    <w:p>
      <w:pPr>
        <w:spacing w:after="0" w:line="178" w:lineRule="exact"/>
        <w:rPr>
          <w:sz w:val="20"/>
          <w:szCs w:val="20"/>
          <w:color w:val="auto"/>
        </w:rPr>
      </w:pPr>
    </w:p>
    <w:p>
      <w:pPr>
        <w:ind w:left="180" w:right="40"/>
        <w:spacing w:after="0" w:line="284" w:lineRule="auto"/>
        <w:rPr>
          <w:sz w:val="20"/>
          <w:szCs w:val="20"/>
          <w:color w:val="auto"/>
        </w:rPr>
      </w:pPr>
      <w:r>
        <w:rPr>
          <w:rFonts w:ascii="Times New Roman" w:cs="Times New Roman" w:eastAsia="Times New Roman" w:hAnsi="Times New Roman"/>
          <w:sz w:val="18"/>
          <w:szCs w:val="18"/>
          <w:i w:val="1"/>
          <w:iCs w:val="1"/>
          <w:color w:val="auto"/>
        </w:rPr>
        <w:t>We may experience delays in receiving royalty payments and be unable to replace operators that do not make required royalty payments, and we may not be able to terminate our leases with defaulting lessees if any of the operators on those leases declare bankruptcy.</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experience delays in receiving royalty payments from our operators, including as a result of delayed division orders received by our operators. Typically, the failure of an operator to make royalty payments to which we are entitled, gives us the right to terminate the lease, repossess the property and enforce payment obligations under the lease. If we repossessed any of our properties, we would seek a replacement operator. However, we cannot guarantee finding a suitable replacement operator in such a circumstance and if we did, we might not be able to enter into a new lease on favorable terms within a reasonable period of time. In addition, the outgoing operator could be subject to a bankruptcy proceeding under Title 11 of the United States Code (the “Bankruptcy Code”), in which case our right to enforce or terminate the lease for any defaults, including non-payment, may be substantially delayed or otherwise at risk. In general, in a proceeding under the Bankruptcy Code, the bankrupt operator would have an extended period of time to decide whether to ultimately reject or assume the lease, which could significantly delay or prevent the execution of a new lease or the assignment of the existing lease to a replacement operator. In the event that an operator rejects the lease, our ability to collect amounts owed to us would be substantially delayed, and our ultimate recovery may be only a fraction of the amount owed or nothing. In addition, if we are able to enter into a new lease with a new operator, there is no guarantee that such replacement operator will achieve the same levels of production or sell oil or natural gas at the same price as the operator it replaced.</w:t>
      </w:r>
    </w:p>
    <w:p>
      <w:pPr>
        <w:spacing w:after="0" w:line="190" w:lineRule="exact"/>
        <w:rPr>
          <w:sz w:val="20"/>
          <w:szCs w:val="20"/>
          <w:color w:val="auto"/>
        </w:rPr>
      </w:pPr>
    </w:p>
    <w:p>
      <w:pPr>
        <w:ind w:left="180" w:right="500"/>
        <w:spacing w:after="0" w:line="284" w:lineRule="auto"/>
        <w:rPr>
          <w:sz w:val="20"/>
          <w:szCs w:val="20"/>
          <w:color w:val="auto"/>
        </w:rPr>
      </w:pPr>
      <w:r>
        <w:rPr>
          <w:rFonts w:ascii="Times New Roman" w:cs="Times New Roman" w:eastAsia="Times New Roman" w:hAnsi="Times New Roman"/>
          <w:sz w:val="18"/>
          <w:szCs w:val="18"/>
          <w:i w:val="1"/>
          <w:iCs w:val="1"/>
          <w:color w:val="auto"/>
        </w:rPr>
        <w:t>We do not currently plan to enter into hedging arrangements with respect to the oil and natural gas production from our properties, and we will be exposed to the impact of decreases in the price of oil and natural gas.</w:t>
      </w:r>
    </w:p>
    <w:p>
      <w:pPr>
        <w:spacing w:after="0" w:line="16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do not currently plan to enter into hedging arrangements to establish, in advance, a price for the sale of the oil and natural gas produced from our properties. As a result, although we may realize the benefit of any short-term increase in the price of oil and natural gas, we will not be protected against decreases in the price of oil and natural gas or prolonged periods of low commodity prices, which could materially adversely affect our business, results of</w:t>
      </w:r>
    </w:p>
    <w:p>
      <w:pPr>
        <w:sectPr>
          <w:pgSz w:w="11900" w:h="16838" w:orient="portrait"/>
          <w:cols w:equalWidth="0" w:num="1">
            <w:col w:w="11240"/>
          </w:cols>
          <w:pgMar w:left="320" w:top="121" w:right="339" w:bottom="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operation and cash available for distribution. If we enter into hedging arrangements in the future, it may limit our ability to realize the benefit of rising prices and may result in hedging losses.</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11" w:name="page12"/>
    <w:bookmarkEnd w:id="11"/>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Competition in the oil and natural gas industry is intense, which may adversely affect our and our operators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ability to succeed.</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oil and natural gas industry is intensely competitive, and the operators of our properties compete with other companies that may have greater resources or greater access to capital. Many of these companies explore for and produce oil and natural gas, carry on midstream and refining operations, and market petroleum and other products on a regional, national or worldwide basis. In addition, these companies may have a greater ability to continue exploration activities during periods when market prices of oil and natural gas are low. Our operators’ larger competitors may be able to better address the burden of present and future federal, state, local and other laws and regulations more easily than our operators can, which could adversely affect our operators’ competitive position. Our operators may have access to fewer financial and human resources than many companies in our operators’ industry and may be at a disadvantage in bidding for exploratory prospects and producing oil and natural gas properties. Furthermore, the oil and natural gas industry has and continues to experience consolidation amongst some operators, which has resulted in certain instances of combined companies with larger resources. Such combined companies may compete against our operators or, in the case of consolidation amongst our operators, may choose to focus their operations on areas outside of our properties. In addition, we cannot guarantee our ability to acquire additional properties and to discover reserves in the future as this will be dependent upon our ability to evaluate and select suitable properties and to consummate transactions in a highly competitive environment.</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Drilling activities on our properties may not be productive, which could have an adverse effect on future results of operations and financial condition.</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Operating Partnership may participate in drilling activities in limited circumstances on the properties underlying the NPI, and third parties may undertake drilling activities on our properties. Any increases in our reserves will come from such drilling activities or from acquisitions.</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Drilling involves a wide variety of risks, including the risk that no commercially productive oil or natural gas reservoirs will be encountered. The cost of drilling, completing and operating wells is often uncertain, and drilling operations may be delayed or canceled as a result of a variety of factors, including:</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irregularities in formations;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delivery of equipment;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drill-site owners.</w:t>
      </w:r>
    </w:p>
    <w:p>
      <w:pPr>
        <w:spacing w:after="0" w:line="25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Future drilling activities on our properties may not be successful. If these activities are unsuccessful, this failure could have an adverse effect on our future results of operations and financial condition. In addition, under the terms of the NPI, the costs of unsuccessful future drilling on the working interest properties that are subject to the NPI will reduce amounts payable to us under the NPI by 96.97% of these costs.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ability to identify and capitalize on acquisitions is limited by contractual provisions and substantial competition.</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partnership agreement limits our ability to acquire oil and natural gas properties in the future, especially for consideration other than our limited partnership interests or cash proceeds of a securities offering. Because of the limitations on our use of operating cash for acquisitions and on our ability to accumulate operating cash for acquisition purposes, we may be required to attempt to effect acquisitions by first selling our securities to raise cash or by issuing our limited partnership interests. However, we may be unable to sell our securities in sufficient quantities and for sufficient consideration to provide adequate consideration to fund an acquisition, and sellers of properties we would like to acquire may be unwilling to take our limited partnership interests in exchange for properties.</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partnership agreement obligates our General Partner to use all reasonable efforts to avoid generating unrelated business taxable income. Accordingly, to acquire working interests we would have to arrange for them to be converted into overriding royalty interests, net profits interests, or another type of interest that does not generate unrelated business taxable income. Third parties may be less likely to deal with us than with a purchaser to which such a condition would not apply. These restrictions could prevent us from pursuing or completing business opportunities that might benefit us and our unitholders, particularly unitholders who are not tax-exempt investors.</w:t>
      </w:r>
    </w:p>
    <w:p>
      <w:pPr>
        <w:spacing w:after="0" w:line="18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duty of affiliates of our General Partner to present acquisition opportunities to our Partnership is limited, pursuant to the terms of the business opportunities agreement. Accordingly, business opportunities that could potentially be pursued by us might not necessarily come to our attention, which could limit our ability to pursue a business strategy of acquiring oil and natural gas properties.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compete with other companies and producers for acquisitions of oil and natural gas interests. Many of these competitors have substantially greater financial flexibility and other resources than we do.</w:t>
      </w:r>
    </w:p>
    <w:p>
      <w:pPr>
        <w:spacing w:after="0" w:line="160" w:lineRule="exact"/>
        <w:rPr>
          <w:sz w:val="20"/>
          <w:szCs w:val="20"/>
          <w:color w:val="auto"/>
        </w:rPr>
      </w:pPr>
    </w:p>
    <w:p>
      <w:pPr>
        <w:ind w:left="180" w:right="500"/>
        <w:spacing w:after="0" w:line="284" w:lineRule="auto"/>
        <w:rPr>
          <w:sz w:val="20"/>
          <w:szCs w:val="20"/>
          <w:color w:val="auto"/>
        </w:rPr>
      </w:pPr>
      <w:r>
        <w:rPr>
          <w:rFonts w:ascii="Times New Roman" w:cs="Times New Roman" w:eastAsia="Times New Roman" w:hAnsi="Times New Roman"/>
          <w:sz w:val="18"/>
          <w:szCs w:val="18"/>
          <w:i w:val="1"/>
          <w:iCs w:val="1"/>
          <w:color w:val="auto"/>
        </w:rPr>
        <w:t>Any future acquisitions will involve risks that could adversely affect our business, which our unitholders generally will not have the opportunity to evaluate.</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current strategy contemplates that we may grow through acquisitions and development of our undeveloped property. We expect to participate in discussions relating to potential acquisition and investment opportunities. If we consummate any additional acquisitions and investments, our capitalization and results of operations may change significantly, and our unitholders will not have the opportunity to evaluate the economic, financial and other relevant information that we will consider in connection with the acquisition, unless the terms of the acquisition require approval of our unitholders. Additionally, our unitholders will bear 100% of the dilution from issuing new common units while receiving essentially 96% of the benefit, as 4% of the benefit goes to our General Partner.</w:t>
      </w:r>
    </w:p>
    <w:p>
      <w:pPr>
        <w:spacing w:after="0" w:line="18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Acquisitions and business expansions involve numerous risks, including assimilation difficulties, unfamiliarity with new assets or new geographic areas and the diversion of management's attention from other business concerns. In addition, the success of any acquisition will depend on a number of</w:t>
      </w:r>
    </w:p>
    <w:p>
      <w:pPr>
        <w:sectPr>
          <w:pgSz w:w="11900" w:h="16954" w:orient="portrait"/>
          <w:cols w:equalWidth="0" w:num="1">
            <w:col w:w="11200"/>
          </w:cols>
          <w:pgMar w:left="320" w:top="121" w:right="379" w:bottom="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factors, including the ability to estimate accurately the recoverable volumes of reserves, rates of future production and future net revenues attributable to reserves and to assess possible environmental liabilities. Our review and analysis of properties prior to any acquisition will be subject to uncertainties and, consistent with industry practice, may be limited in scope. We may not be able to successfully integrate any oil and natural gas properties that we acquire into our operations, or we may not achieve desired profitability objectives.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right="240"/>
        <w:spacing w:after="0" w:line="284" w:lineRule="auto"/>
        <w:rPr>
          <w:sz w:val="20"/>
          <w:szCs w:val="20"/>
          <w:color w:val="auto"/>
        </w:rPr>
      </w:pPr>
      <w:r>
        <w:rPr>
          <w:rFonts w:ascii="Times New Roman" w:cs="Times New Roman" w:eastAsia="Times New Roman" w:hAnsi="Times New Roman"/>
          <w:sz w:val="18"/>
          <w:szCs w:val="18"/>
          <w:i w:val="1"/>
          <w:iCs w:val="1"/>
          <w:color w:val="auto"/>
        </w:rPr>
        <w:t>A natural disaster or catastrophe could damage pipelines, gathering systems and other facilities that service our properties, which could substantially limit our operations and adversely affect our cash flow.</w:t>
      </w:r>
    </w:p>
    <w:p>
      <w:pPr>
        <w:spacing w:after="0" w:line="16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gathering systems, pipelines or other facilities that serve our properties are damaged by any natural disaster, accident, catastrophe or other event, our income could be significantly interrupted. Any event that interrupts the production, gathering or transportation of our oil and natural gas, or which causes us to share in significant expenditures not covered by insurance, could adversely impact the market price of our limited partnership units and the amount of cash available for distribution to our unitholders. We do not carry business interruption insurance.</w:t>
      </w:r>
    </w:p>
    <w:p>
      <w:pPr>
        <w:spacing w:after="0" w:line="178" w:lineRule="exact"/>
        <w:rPr>
          <w:sz w:val="20"/>
          <w:szCs w:val="20"/>
          <w:color w:val="auto"/>
        </w:rPr>
      </w:pPr>
    </w:p>
    <w:p>
      <w:pPr>
        <w:ind w:left="180" w:right="140"/>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portion of the properties subject to the NPI are geographically concentrated, which could cause net proceeds payable under the NPI to be impacted by regional events.</w:t>
      </w:r>
    </w:p>
    <w:p>
      <w:pPr>
        <w:spacing w:after="0" w:line="16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the properties subject to the NPI are properties located in the Bakken region and Permian Basin. Because of this geographic concentration, any regional events, including natural disasters that increase costs, reduce availability of equipment, services, or supplies, reduce demand or limit production may impact the net proceeds payable under the NPI more than if the properties were more geographically diversified.</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Under the terms of the NPI, much of the economic risk of the underlying properties is passed along to us.</w:t>
      </w:r>
    </w:p>
    <w:p>
      <w:pPr>
        <w:spacing w:after="0" w:line="227"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NPI, virtually all costs that may be incurred in connection with the properties, including overhead costs that are not subject to an annual reimbursement limit, are deducted as production costs or excess production costs in determining amounts payable to us. Therefore, to the extent of the revenues from the burdened properties, we bear 96.97% of the costs of the working interest properties. If costs exceed revenues, we do not receive any payments under the NPI. However, except as described below, we are not required to pay any excess costs.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terms of the NPI provide for excess costs that cannot be charged currently because they exceed current revenues to be accumulated and charged in future periods, which could result in us not receiving any payments under the NPI until all prior uncharged costs have been recovered by the Operating Partnership.</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cash flow is subject to operating hazards and unforeseen interruptions for which we may not be fully insured.</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Neither we nor the Operating Partnership are fully insured against certain risks, either because such full insurance is not available or because of high premium costs. Operations that affect the properties are subject to all of the risks normally incident to the oil and natural gas business, including blowouts, cratering, explosions, and pollution and other environmental damage, any of which could result in substantial decreases in the cash flow from our royalty interests and other interests due to injury or loss of life, damage to or destruction of wells, production facilities or other property, clean-up responsibilities, regulatory investigations and penalties and suspension of operations. Any uninsured costs relating to the properties underlying the NPI will be deducted as a production cost in calculating the net proceeds payable to us.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Governmental policies, laws and regulations could have an adverse impact on our business and cash distributions.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the properties in which we hold interests are subject to federal, tribal, state and local laws and regulations relating to the oil and natural gas industry as well as regulations relating to environmental, health, and safety matters. These laws and regulations can have a significant impact on production and costs of production. Regulators have the ability, directly or indirectly, to limit production from our properties, and such limitations or changes in those limitations could negatively impact us in the future.</w:t>
      </w:r>
    </w:p>
    <w:p>
      <w:pPr>
        <w:spacing w:after="0" w:line="178" w:lineRule="exact"/>
        <w:rPr>
          <w:sz w:val="20"/>
          <w:szCs w:val="20"/>
          <w:color w:val="auto"/>
        </w:rPr>
      </w:pPr>
    </w:p>
    <w:p>
      <w:pPr>
        <w:jc w:val="both"/>
        <w:ind w:left="180" w:right="80"/>
        <w:spacing w:after="0" w:line="267" w:lineRule="auto"/>
        <w:rPr>
          <w:sz w:val="20"/>
          <w:szCs w:val="20"/>
          <w:color w:val="auto"/>
        </w:rPr>
      </w:pPr>
      <w:r>
        <w:rPr>
          <w:rFonts w:ascii="Times New Roman" w:cs="Times New Roman" w:eastAsia="Times New Roman" w:hAnsi="Times New Roman"/>
          <w:sz w:val="18"/>
          <w:szCs w:val="18"/>
          <w:i w:val="1"/>
          <w:iCs w:val="1"/>
          <w:color w:val="auto"/>
        </w:rPr>
        <w:t>Cyber incidents or attacks targeting our systems and infrastructure used by the oil and natural gas industry and the use of artificial intelligence tools by us, the operators of our properties, vendors, suppliers, and other business partners may adversely impact our operations, and if we are unable to obtain and maintain adequate protection of our data, our business may be adversely impacted.</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and our operators increasingly rely on information technology systems to operate our respective businesses, and the oil and natural gas industry depends on digital technologies in exploration, development, production, and processing activities. Threats to information technology systems associated with cybersecurity risks and cyber incidents or attacks continue to grow. Our technologies, systems, networks, including third party software, cloud services and other internally and externally hosted hardware and software platforms, and those of the operators of our properties,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activities. In addition, certain cyber incidents, such as surveillance, may remain undetected for some period of time. While we utilize various procedures and controls to mitigate exposure to such risk, cyber incidents and attacks are evolving and unpredictable. Security vulnerabilities may be introduced from the use of artificial intelligence by us, the operators of our properties, vendors, suppliers, and other business partners. Our information technology systems and any insurance coverage for protecting against cybersecurity risks may not be sufficient. As cyber security threats continue to evolve, including those leveraging the increasing availability and sophistication of artificial intelligence tools, we may be required to expend additional resources to continue to modify or enhance our protective measures or to investigate and remediate any vulnerability to cyber incidents. We may not have sufficient resources available to do so on a timely basis. It is not possible to predict all of the risks related to the use of artificial intelligence. It is possible that our business, finances, systems and assets could be compromised in a cyber attack or from the unintended consequences of the use of artificial intelligence tools by us, the operators of our properties, vendors, suppliers, and other business partners. In addition, new laws and regulations regarding cybersecurity and artificial intelligence may pose increasingly complex compliance challenges and potentially elevate costs, and any failure to comply with these laws and regulations could result in significant penalties and legal liability.</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Partnership may be adversely affected by price volatility in the oil and natural gas markets.</w:t>
      </w:r>
    </w:p>
    <w:p>
      <w:pPr>
        <w:spacing w:after="0" w:line="227"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Historically, there has been price volatility in the oil and natural gas markets, which have been impacted by a number of factors, including actions by oil producing nations. Global military conflicts and political uncertainty, fluctuating interest rates, changes in tariff rates, global supply chain disruptions, concerns about a potential economic downturn or recession, recent measures to combat persistent inflation, and actions taken by OPEC and its non-OPEC allies, collectively OPEC+, continued to contribute to economic and pricing volatility during 2025. Oil and natural gas markets remain subject to price volatility, which may have a material adverse effect on our cash distributions in periods of lower prices. During periods of substantial declines in prices, oil and natural gas operators on our properties may suspend drilling programs, which would impact our revenues and operating income. In the event that any wells on our properties are shut-in, restarting wells may require significant costs from our operators, and we cannot guarantee that they would be able to</w:t>
      </w:r>
    </w:p>
    <w:p>
      <w:pPr>
        <w:sectPr>
          <w:pgSz w:w="11900" w:h="16838" w:orient="portrait"/>
          <w:cols w:equalWidth="0" w:num="1">
            <w:col w:w="11220"/>
          </w:cols>
          <w:pgMar w:left="320" w:top="121" w:right="359" w:bottom="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restart at the same level. Moreover, due to the extremely volatile market conditions, we are unable to predict the degree or duration of any adverse impact on our operations and financial condition and other risks in our industry may be enhanced by such conditions.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right="260"/>
        <w:spacing w:after="0" w:line="267" w:lineRule="auto"/>
        <w:rPr>
          <w:sz w:val="20"/>
          <w:szCs w:val="20"/>
          <w:color w:val="auto"/>
        </w:rPr>
      </w:pPr>
      <w:r>
        <w:rPr>
          <w:rFonts w:ascii="Times New Roman" w:cs="Times New Roman" w:eastAsia="Times New Roman" w:hAnsi="Times New Roman"/>
          <w:sz w:val="18"/>
          <w:szCs w:val="18"/>
          <w:i w:val="1"/>
          <w:iCs w:val="1"/>
          <w:color w:val="auto"/>
        </w:rPr>
        <w:t>Continuing or worsening domestic inflationary issues and associated changes in federal monetary policy and increased tariffs by the United States on foreign jurisdictions may result in increases to the costs of the goods, services and labor used by our operators, which could cause their capital expenditures and operating costs to rise and may delay or restrict their exploration and development activities and in turn our business.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Recently, the U.S. has had periods of high inflation and increased tariffs on foreign jurisdictions. These inflationary and tariff pressures have resulted, and may continue to result, in increases to the costs of the goods, services and labor used by our operators, which has and may continue to cause their capital expenditures and operating costs to rise. Sustained levels of high inflation have likewise caused the U.S. Federal Reserve and other central banks to increase interest rates through 2025, with only slight moderation later in the year. Sustained levels of high interest rates, combined with expectations of no further rate cuts and potential future rate increases, as well as potential volatility in monetary policy resulting from new leadership at the federal reserve, could raise the cost of capital and depress economic growth, either of which, or the combination thereof, could hurt the financial and operating results of our operators’ businesses. If our operators are unable to secure the goods, services and labor necessary for their operations at reasonable costs, their exploration and development activities could be delayed or restricted, which in turn could have a material adverse effect on our financial condition, results of operations and free cash 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 Factors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Environmental costs and liabilities and changing environmental regulation could affect our cash flow.</w:t>
      </w:r>
    </w:p>
    <w:p>
      <w:pPr>
        <w:spacing w:after="0" w:line="227"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As with other companies engaged in the ownership and production of oil and natural gas, we always have possible risk of exposure to environmental costs and liabilities because of the costs associated with environmental compliance or remediation. The properties in which we hold interests are subject to extensive federal, state, tribal and local regulatory requirements relating to environmental affairs, health and safety and waste management. Governmental authorities have the power to enforce compliance with applicable regulations and permits, which could increase production costs on our properties and affect their cash flow. Third parties may also have the right to pursue legal actions to enforce compliance. Because we do not directly operate our properties, our direct liability under environmental laws is limited. It is likely, however, that expenditures in connection with environmental matters, individually or as part of normal capital expenditure programs, will affect the net cash flow from our properties. Future environmental law developments, such as stricter laws, regulations or enforcement policies, could significantly increase the costs of production from our properties and reduce our cash flow.</w:t>
      </w:r>
    </w:p>
    <w:p>
      <w:pPr>
        <w:spacing w:after="0" w:line="17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existing environmental laws, rules and regulations that apply to oil and natural gas operations, and that may indirectly affect our cash flow.</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(“CERCLA”), also known as the Superfund law, and comparable state statutes impose strict liability (i.e., no showing of “fault” is required), and under certain circumstances, joint and several liability, on classes of persons who are considered to be responsible for the release of a hazardous substance into the environment. The term “hazardous substance” is specifically defined to exclude petroleum, including crude oil and any fraction thereof, natural gas and natural gas liquids. Despite this exclusion, certain materials that are commonly used in connection with oil and natural gas operations are considered to be hazardous substances under CERCLA. Responsible persons include the current or former owner or operator of the site where the release occurred, and anyone who disposed of or arranged for the disposal of a hazardous substance released at the site, regardless of whether the disposal of hazardous substances was lawful at the time of the disposal. Under CERCLA, such persons may be subject to strict, joint and several liabilities for the costs of investigating releases of hazardous substances, cleaning up the hazardous substances that have been released into the environment, damages to natural resources and certain health studies. In addition, it is not uncommon for neighboring landowners and other third parties to file claims for personal injury and property damage allegedly caused by the hazardous substances released into the environment. The operators of our properties may be responsible under CERCLA for all or part of these costs. Although we are not an operator, our ownership of royalty interests could cause us to be responsible for all or part of such costs to the extent that CERCLA imposes such responsibilities on such parties as “owners.”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Resource Conservation and Recovery Act (“RCRA”) and comparable state statutes regulate the generation, transportation, treatment, storage, disposal and cleanup of hazardous and non-hazardous wastes. Drilling fluids, produced water and many other wastes associated with the exploration, development and production of oil or natural gas are currently excluded from regulation under RCRA’s hazardous waste provisions. However, it is possible that certain oil and natural gas exploration and production wastes could be classified as hazardous wastes in the future. In addition, exploration and production wastes are regulated under state laws analogous to RCRA. Many of our properties have produced oil and/or natural gas for many years. We have no knowledge of current and prior operators’ procedures with respect to the disposal of oil and natural gas wastes. Hydrocarbons or other solid or hazardous wastes may have been released on or under our properties by the operators or prior operators. Our properties and the materials disposed or released on, at, under or from them may be subject to CERCLA, RCRA and analogous state laws, and removal or remediation of such materials could be required by a governmental authority.</w:t>
      </w:r>
    </w:p>
    <w:p>
      <w:pPr>
        <w:spacing w:after="0" w:line="18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Federal Clean Air Act (“CAA”) and comparable state laws regulate emissions of various air pollutants through air emissions permitting programs and other requirements, such as emissions controls. Existing laws and regulations and possible future laws and regulations may require our operators to obtain pre-approval for the expansion or modification of existing facilities or the construction of new facilities expected to produce air emissions and may impose stringent air permit requirements or mandate the use of specific equipment or technologies to control emissions. The U.S. Environmental Protection Agency (“EPA”) continues to develop New Source Performance standards for oil and natural gas facilities.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President Trump, the EPA amended the New Source Performance standards to ease regulatory burdens, including rescinding standards applicable to transmission or storage segments and eliminating methane requirements altogether. On June 30, 2021, President Biden signed into law a joint resolution of Congress disapproving the 2020 amendments, with the exception of some technical changes, thereby reinstating the prior standards. The EPA expects owners and operators of regulated sources to take “immediate steps” to comply with these standards. Additionally, on March 8, 2024, the EPA published a final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w:t>
      </w:r>
    </w:p>
    <w:p>
      <w:pPr>
        <w:spacing w:after="0" w:line="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situations. Federal changes will affect state air permitting programs in states that administer the federal CAA under a delegation of authority, including states in which we have operations, and states will be required to adopt implementing plans for existing sources consistent with EPA’s emissions guidelines. Separately, on July 4, 2025, President Trump signed the One Big Beautiful Bill Act, which amended CAA section 136(g) to delay the collection of data regarding the annual GHG emissions for oil and natural gas systems to 2034 and for each year thereafter, which may affect overall compliance timeframe. These new standards, to the extent implemented, as well as any future laws and their implementing regulations, may require our operators to obtain pre-approval for the expansion or modification of existing facilities or the construction of new facilities expected to produce air emissions, impose stringent air permit requirements, or mandate the use of specific equipment or technologies to control emissions, and compliance timeframes may be adjusted through</w:t>
      </w:r>
    </w:p>
    <w:p>
      <w:pPr>
        <w:sectPr>
          <w:pgSz w:w="11900" w:h="16838" w:orient="portrait"/>
          <w:cols w:equalWidth="0" w:num="1">
            <w:col w:w="11240"/>
          </w:cols>
          <w:pgMar w:left="320" w:top="121" w:right="339" w:bottom="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EPA rulemakings or state plan approvals. We cannot predict the final regulatory requirements or the cost to our operators to comply with such requirements with any certainty.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12, 2026, EPA announced a final rule rescinding its 2009 GHG Endangerment Finding (a regulatory determination that GHGs, specifically carbon dioxide, methane, nitrous oxide, hydrofluorocarbons, perfluorocarbons, and sulfur hexafluoride, threaten public health and welfare), and repealing all GHG emission standards and associated compliance, testing, reporting, averaging, banking and trading provisions for light-, medium-, and heavy-duty motor vehicles and engines under section 202(a) of the CAA. Although EPA deferred action on regulatory rollbacks of other GHG standards and reporting requirements under the CAA, revocation of the 2009 GHG Endangerment Finding marks a major shift in federal regulation and could potentially impact obligations regarding other GHG emissions, including those from the oil and gas industry. It is also possible that rescission of the 2009 GHG Endangerment Finding will give rise to greater and fragmented regulation at the state level, litigation from interested stakeholders challenging the repeal, and actions against GHG emitters under common law theories. Although we cannot predict whether and how federal and state regulators will proceed in the future, changes stemming from repeal of the EPA 2009 GHG Endangerment Finding could impact our operations and compliance costs.</w:t>
      </w:r>
    </w:p>
    <w:p>
      <w:pPr>
        <w:spacing w:after="0" w:line="18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Federal Water Pollution Control Act (the “Clean Water Act” or “CWA”) and analogous state laws impose restrictions and strict controls on the discharge of pollutants and fill material, including spills and leaks of oil and other substances into regulated waters, including wetlands. The discharge of pollutants into regulated waters is prohibited, except in accordance with the terms of a permit issued by the EPA, an analogous state agency, or, in the case of fill material, the United States Army Corps of Engineers (“USACOE”). The scope of waters regulated under the CWA has fluctuated in recent years. On June 29, 2015, the EPA and the USACOE jointly promulgated a final rule expanding the scope of “Waters of the United States” (“WOTUS”), which would have made additional waters subject to the jurisdiction of the Clean Water Act. However, on October 22, 2019, the agencies published a final rule to repeal the 2015 WOTUS rule, and then, on April 21, 2020, the EPA and the USACOE published a final rule replacing the 2015 rule and significantly reducing the waters subject to federal regulation under the CWA. On August 30, 2021, a federal court struck down the replacement rule and, on January 18, 2023, the EPA and the USACOE published a final rule that would restore water protections that were in place prior to 2015. However, on May 25, 2023, the Supreme Court issued an opinion substantially narrowing the scope of “waters of the United States” protected under the CWA. On September 8, 2023, the EPA and the USACOE published a final rule conforming their regulations to the decision. These recent actions have provided some clarity. To the extent the EPA and the USACOE broadly interpret their jurisdiction and expand the range of properties subject to the CWA’s jurisdiction, our operators could face increased costs and delays with respect to obtaining permits for dredge and fill activities in wetland areas, which could cause delays in development and/or increase the cost of development and operation of those properties.</w:t>
      </w:r>
    </w:p>
    <w:p>
      <w:pPr>
        <w:spacing w:after="0" w:line="19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Spill prevention, control, and countermeasure (“SPCC”) regulations promulgated under the CWA and later amended by the Oil Pollution Act of 1990 impose obligations and liabilities related to the prevention of oil spills and damages resulting from such spills into or threatening waters of the United States or adjoining shorelines. For example, operators of certain oil and natural gas facilities that store oil in more than threshold quantities, the release of which could reasonably be expected to reach jurisdictional waters, must develop, implement, and maintain SPCC Plans. Federal and state regulatory agencies can impose administrative, civil and criminal penalties for non-compliance with discharge permits or other requirements of the CWA and analogous state laws and regulations.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Various federal laws, including the Endangered Species Act and the Migratory Bird Treaty Act, and analogous state laws, restrict activities that may adversely affect listed endangered or threatened species or their habitat. If endangered or threatened species are located on our properties, operations on those properties could be prohibited or delayed or expensive mitigation may be required. Also, the United States Fish and Wildlife Service (“USFWS”) may designate critical habitat and suitable habitat areas that it believes are necessary for the survival of threatened or endangered species. A critical habitat or suitable habitat designation could result in further material restrictions to federal land use and private land use and could delay or prohibit land access, development or operations (including prevent oil and natural gas exploration or production). Additionally, the designation of previously unprotected species in areas where we operate as endangered or threatened could result in the imposition of restrictions on our operators and consequently have a material adverse effect on our business.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Oil and natural gas operations are subject to the requirements of the federal Occupational Safety and Health Act (“OSHA”) and comparable state statutes and their implementing regulations. The OSHA hazard communication standard, the EPA community right-to-know regulations under Title III of CERCLA, the general duty clause and Risk Management Planning regulations promulgated under section 112(r) of the CAA and similar state statutes may require disclosure of information about hazardous materials used, produced or otherwise managed during operation. These laws also require the development of risk management plans for certain facilities to prevent accidental releases of extremely hazardous substances and to minimize the consequences of such releases should they occur.</w:t>
      </w:r>
    </w:p>
    <w:p>
      <w:pPr>
        <w:spacing w:after="0" w:line="185" w:lineRule="exact"/>
        <w:rPr>
          <w:sz w:val="20"/>
          <w:szCs w:val="20"/>
          <w:color w:val="auto"/>
        </w:rPr>
      </w:pPr>
    </w:p>
    <w:p>
      <w:pPr>
        <w:ind w:left="180"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potential adoption of federal and state hydraulic fracturing laws or executive orders could delay or restrict development of our oil and natural gas properties.</w:t>
      </w:r>
    </w:p>
    <w:p>
      <w:pPr>
        <w:spacing w:after="0" w:line="16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(“SDWA”)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SDWA. Future federal laws or regulations could require hydraulic fracturing operations to meet permitting and financial assurance requirements, adhere to certain construction specifications, fulfill monitoring, reporting and recordkeeping obligations and meet plugging and abandonment requirements. Such federal legislation or regulation could lead to operational delays or increased operating costs and could result in additional regulatory burdens that could make it more difficult to perform hydraulic fracturing.</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Bureau of Land Management (“BLM”) is responsible for protecting the resources and managing the uses of America’s public lands. In addition, the BLM, together with the Bureau of Indian Affairs (“BIA”), provides permitting and oversight of land held in trust by the Federal government on behalf of tribes and individual Indian owners. As oil and natural gas production has increased in recent years, so have the number of wells on BLM-managed public lands and on Indian lands that are stimulated by hydraulic fracturing techniques, prompting the BLM to regulate such activities in a manner that</w:t>
      </w:r>
    </w:p>
    <w:p>
      <w:pPr>
        <w:sectPr>
          <w:pgSz w:w="11900" w:h="16838" w:orient="portrait"/>
          <w:cols w:equalWidth="0" w:num="1">
            <w:col w:w="11240"/>
          </w:cols>
          <w:pgMar w:left="320" w:top="121" w:right="339" w:bottom="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t>seeks to balance responsible development with protection of the environment and public safety. Notably, on April 10, 2024, the BLM published a final replacement rule to reduce the waste of natural gas from venting, flaring and leaks during oil and natural gas production activities on federal and Indian lands, which would require the use of upgraded equipment in some cases and would place time and volume limits on royalty-free flaring. On April 24, 2024, several states challenged the 2024 waste prevention rule in federal court, which has resulted in a preliminary injunction against the BLM enforcing the rule in North Dakota, Texas, Montana, Wyoming, and Utah. Also, on April 23, 2024, the BLM published a final rule to update its oil and gas leasing regulations, which increases bonding requirements and raises royalty rates. Each of these regulations, to the extent that they are implemented, reinstated or modified, may result in additional levels of regulation or complexity that could lead to operational delays, increased operating costs and additional regulatory burdens that could make it more difficult to perform hydraulic fracturing and increase costs of compliance.</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certain states in which our properties are located, including Oklahoma, Texas and Wyoming, have adopted, and other states are considering adopting, regulations that could impose more stringent permitting, public disclosure and well construction requirements on hydraulic-fracturing operations or otherwise seek to ban fracturing activities altogether. For example, pursuant to legislation adopted by the State of Texas in June 2011, the Railroad Commission of Texas enacted a rule in December 2011, requiring public disclosure of certain information regarding additives, chemical ingredients, concentrations and water volumes used in hydraulic fracturing. In addition to state laws, local land use restrictions, such as city ordinances, may restrict or prohibit well drilling in general and/or hydraulic fracturing in particular. In response to a 2014 ballot initiative by the voters of the City of Denton, Texas banning hydraulic fracturing, the Texas legislature enacted a statute preempting local government regulation of oil and natural gas activities, including hydraulic fracturing. In other states, however, local governments may retain the ability to directly or indirectly regulate hydraulic fracturing. State and local governments may also seek to regulate or recover costs of activities tangentially associated with hydraulic fracturing, such as increased truck traffic. In the event state, local, or municipal legal restrictions are adopted in areas where our properties are located, the cost of the operators of our oil and natural gas properties to comply with such requirements may be significant in nature, which may cause delays or curtailment in the pursuit of exploration, development, or production activities, and perhaps even preclude the operators from drilling wells.</w:t>
      </w:r>
    </w:p>
    <w:p>
      <w:pPr>
        <w:spacing w:after="0" w:line="19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Some states have become concerned about the connection between hydraulic fracturing-related activities, particularly the injection or disposal of produced water, and the increased occurrence of seismic activity, and they have adopted or are considering additional regulations regarding such activities. Changes in regulations or the inability to obtain permits for new disposal wells in the future may affect the ability of the operators of the Royalty Properties and the operators of the working interests and other properties underlying our NPI to dispose of produced water and ultimately increase the cost of operation of the Royalty Properties and the working interests and other properties underlying our NPI or delay production schedules. Certain state agencies, including those in Texas and Oklahoma, have implemented regulations authorizing the imposition of certain limitations on existing wells if seismic activity increases in the area of an injection well, including a temporary injection ban. For example, in Oklahoma, the Oklahoma Corporations Commission (“OCC”) has implemented a variety of measures, including the adoption of the National Academy of Science’s “traffic light system,” pursuant to which the agency reviews new disposal well applications and may restrict operations at existing wells. Beginning in 2013, the OCC has ordered the reduction of disposal volumes into the Arbuckle formation. More recently, the OCC directed the shut in of a number of disposal wells due to increased earthquake activity in the Arbuckle formation and imposed further disposal well volume reductions in the Covington, Crescent, Enid, and Edmond areas. The Texas Railroad Commission has also implemented measures to assess the potential for seismic activity in the vicinity of disposal wells, and it has restricted and indefinitely suspended disposal well activities in some cases. Moreover, vigorous public debate over hydraulic fracturing and shale gas production continues and has resulted in delays of well permits in some areas.</w:t>
      </w:r>
    </w:p>
    <w:p>
      <w:pPr>
        <w:spacing w:after="0" w:line="19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have also evaluated or are evaluating various other aspects of hydraulic fracturing. These ongoing or proposed studies could spur initiatives to further regulate hydraulic fracturing and could ultimately make it more difficult or costly for our operators to perform fracturing and increase their costs of compliance and doing business.</w:t>
      </w:r>
    </w:p>
    <w:p>
      <w:pPr>
        <w:spacing w:after="0" w:line="190" w:lineRule="exact"/>
        <w:rPr>
          <w:sz w:val="20"/>
          <w:szCs w:val="20"/>
          <w:color w:val="auto"/>
        </w:rPr>
      </w:pPr>
    </w:p>
    <w:p>
      <w:pPr>
        <w:ind w:left="180" w:right="120"/>
        <w:spacing w:after="0" w:line="284" w:lineRule="auto"/>
        <w:rPr>
          <w:sz w:val="20"/>
          <w:szCs w:val="20"/>
          <w:color w:val="auto"/>
        </w:rPr>
      </w:pPr>
      <w:r>
        <w:rPr>
          <w:rFonts w:ascii="Times New Roman" w:cs="Times New Roman" w:eastAsia="Times New Roman" w:hAnsi="Times New Roman"/>
          <w:sz w:val="18"/>
          <w:szCs w:val="18"/>
          <w:i w:val="1"/>
          <w:iCs w:val="1"/>
          <w:color w:val="auto"/>
        </w:rPr>
        <w:t>Climate change legislation or regulations could result in increased operating costs and reduced demand for the oil and natural gas production from our properties.</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recent years, federal, state, and local governments have taken steps to reduce emissions of greenhouse gases (“GHGs”), though policy changes at the federal level have caused uncertainty. For example, the Infrastructure Investment and Jobs Act of 2021 and the Inflation Reduction Act of 2022 (“IRA”) include billions of dollars in incentives for the development of renewable energy, clean hydrogen, clean fuels, electric vehicles, investments in advanced biofuels and supporting infrastructure and carbon capture and sequestration. Also, in March 2024, the EPA finalized ambitious rules to reduce harmful air pollutant emissions, including GHGs, from light-, medium-, and heavy-duty vehicles beginning in model year 2027, which could decrease demand for, and in turn the prices of, oil and natural gas and adversely impact our business.</w:t>
      </w:r>
    </w:p>
    <w:p>
      <w:pPr>
        <w:spacing w:after="0" w:line="187" w:lineRule="exact"/>
        <w:rPr>
          <w:sz w:val="20"/>
          <w:szCs w:val="20"/>
          <w:color w:val="auto"/>
        </w:rPr>
      </w:pPr>
    </w:p>
    <w:p>
      <w:pPr>
        <w:jc w:val="both"/>
        <w:ind w:right="60" w:firstLine="324"/>
        <w:spacing w:after="0" w:line="272" w:lineRule="auto"/>
        <w:rPr>
          <w:sz w:val="20"/>
          <w:szCs w:val="20"/>
          <w:color w:val="auto"/>
        </w:rPr>
      </w:pPr>
      <w:r>
        <w:rPr>
          <w:rFonts w:ascii="Times New Roman" w:cs="Times New Roman" w:eastAsia="Times New Roman" w:hAnsi="Times New Roman"/>
          <w:sz w:val="17"/>
          <w:szCs w:val="17"/>
          <w:color w:val="auto"/>
        </w:rPr>
        <w:t>In addition, the IRA imposes the first ever federal fee on the emission of GHGs through a methane emissions charge. Specifically, the IRA amends the Clean Air Act to impose a fee on the emission of methane that exceeds an applicable waste emissions threshold from sources required to report their GHG emissions to the EPA, including sources in the offshore and onshore petroleum and natural gas production and gathering and boosting source categories.</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If implemented, methane emissions charge could increase our operators’ costs, which could adversely impact our business, financial condition and cash flows. However, on January 20, 2025, President Trump signed multiple executive orders seeking to reverse these climate incentives, including pausing the disbursement of funds under the IRA. The same day, President Trump also issued executive orders to encourage fossil fuel production and exploration on federal lands and waters, while moving away from renewable energy and electric vehicles. Such actions have the potential to impact prior efforts to transition the economy away from the use of fossil fuels and towards lower or zero-carbon emissions alternatives. Further, on July 4, 2025, President Trump signed the One Big Beautiful Bill Act, which amended CAA section 136(g) to delay the collection of data regarding the annual GHG emissions for oil and natural gas systems to 2034 and for each year thereafter.</w:t>
      </w:r>
    </w:p>
    <w:p>
      <w:pPr>
        <w:spacing w:after="0" w:line="18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EPA has also finalized a series of GHG monitoring, reporting and emission control rules for the oil and natural gas industry, and almost half of the states have taken measures to reduce GHG emissions primarily through the development of GHG emission inventories and/or regional GHG cap and trade programs. The cap and trade programs require major sources of emissions or major fuel producers to acquire and surrender emission allowances corresponding with their annual emissions of GHGs. The number of allowances available for purchase is reduced each year until the overall GHG emission reduction goal is achieved. Many states also have enacted renewable portfolio standards, which require utilities to purchase a certain percentage of their energy from renewable fuel sources. In addition, states have imposed increasingly stringent requirements related to the venting or flaring of natural gas during oil and natural gas operations.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April 21, 2021, the United States announced that it was setting an economy-wide target of reducing its GHG emissions by 50-52 percent below 2005 levels by 2030. In November 2021, in connection with Glasgow Climate Pact, the United States and other world leaders made further commitments to reduce GHG emissions, including reducing global methane emissions by at least 30 percent by 2030 from 2020 levels. More than 150 countries have now signed on to this pledge. Most recently, at the 28th Conference of the Parties in the United Arab Emirates, world leaders agreed to transition away from fossil fuels in a just, orderly and equitable manner and to triple renewables and double energy efficiency globally by 2030. Additionally, the Biden Administration announced a new climate target for the United States on December 19, 2024, which included a 61-66 percent reduction in economy-wide net greenhouse gas emissions by 2035, as compared to 2005 levels. Many state and local leaders have stated their intent to intensify efforts to support the international climate commitments. On January 7, 2026, President Trump issued a memorandum directing withdrawal of the United States from specified</w:t>
      </w:r>
    </w:p>
    <w:p>
      <w:pPr>
        <w:sectPr>
          <w:pgSz w:w="11900" w:h="16838" w:orient="portrait"/>
          <w:cols w:equalWidth="0" w:num="1">
            <w:col w:w="11240"/>
          </w:cols>
          <w:pgMar w:left="320" w:top="121" w:right="339" w:bottom="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international organizations and treaties, including the UN Framework Convention on Climate Change and the Intergovernmental Panel on Climate Change, with implementation guidance to be issued by the Secretary of State. It is possible that the withdrawals will impact the demand for oil and natural gas products.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it is not possible at this time to predict whether or when Congress may adopt additional climate change legislation, or whether EPA may promulgate additional regulation of GHGs from the oil and natural gas industry, any laws or regulations that may be adopted to restrict or reduce emissions of GHGs could require oil and natural gas operators that develop our properties to incur increased operating costs and could have an adverse effect on demand for the oil and natural gas produced from our properties.</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It should also be noted that, recently, activists concerned about the potential effects of climate change have directed their attention at sources of funding for fossil fuel energy companies, which has resulted in certain financial institutions, funds and other sources of capital restricting or eliminating their investment in oil and natural gas activities. In addition, spurred by increasing concerns regarding climate change, the oil and natural gas industry faces growing demand for corporate transparency and a demonstrated commitment to sustainability goals. Environmental, social, and governance (“ESG”) goals and programs, which typically include extralegal targets related to environmental stewardship, social responsibility, and corporate governance, have become an increasing focus of investors and shareholders across the industry. While reporting on ESG metrics remains voluntary, access to capital and investors is likely to favor companies with robust ESG programs in place. The SEC published final rules on March 28, 2024, relating to the disclosure of a range of climate-related risks and other information. Several lawsuits have been filed challenging the rules. In April 2024, the SEC agreed to pause the rules to facilitate an orderly judicial resolution. On March 27, 2025, the SEC voted to end its defense of the rules requiring disclosure of climate-related risks and greenhouse gas emissions. Following the vote, the SEC staff sent a letter to the court stating that the Commission withdraws its defense of the rules and that Commission counsel are no longer authorized to advance the arguments in the brief the Commission had filed. To the extent the rules are implemented, the Partnership, our operators and/or our customers could incur increased costs related to the assessment and disclosure of climate-related information. Enhanced climate disclosure requirements could also accelerate any trend by certain stakeholders and capital providers to restrict or seek more stringent conditions with respect to their financing of certain carbon intensive sectors. Ultimately, these initiatives could make it more difficult to secure funding for exploration and production activities.</w:t>
      </w:r>
    </w:p>
    <w:p>
      <w:pPr>
        <w:spacing w:after="0" w:line="19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Finally,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operators’ activities and increase their costs and damage resulting from extreme weather may not be fully insured. However, at this time, we are unable to determine the extent to which climate change may lead to increased storm or weather hazards affecting our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oil and natural gas reserve data and future net revenue estimates are uncertain.</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Estimates of proved reserves and related future net revenues are projections based on engineering data and reports of independent consulting petroleum engineers hired for that purpose. The process of estimating reserves requires substantial judgment, resulting in imprecise determinations. Different reserve engineers may make different estimates of reserve quantities and related revenue based on the same data. Therefore, those estimates should not be construed as being accurate estimates of the current market value of our proved reserves. If these estimates prove to be inaccurate, our business may be adversely affected by lower revenues. We are affected by changes in oil and natural gas prices. Oil prices and natural gas prices may experience inverse price changes.</w:t>
      </w:r>
    </w:p>
    <w:p>
      <w:pPr>
        <w:spacing w:after="0" w:line="185" w:lineRule="exact"/>
        <w:rPr>
          <w:sz w:val="20"/>
          <w:szCs w:val="20"/>
          <w:color w:val="auto"/>
        </w:rPr>
      </w:pPr>
    </w:p>
    <w:p>
      <w:pPr>
        <w:ind w:left="180" w:right="320"/>
        <w:spacing w:after="0" w:line="284" w:lineRule="auto"/>
        <w:rPr>
          <w:sz w:val="20"/>
          <w:szCs w:val="20"/>
          <w:color w:val="auto"/>
        </w:rPr>
      </w:pPr>
      <w:r>
        <w:rPr>
          <w:rFonts w:ascii="Times New Roman" w:cs="Times New Roman" w:eastAsia="Times New Roman" w:hAnsi="Times New Roman"/>
          <w:sz w:val="18"/>
          <w:szCs w:val="18"/>
          <w:i w:val="1"/>
          <w:iCs w:val="1"/>
          <w:color w:val="auto"/>
        </w:rPr>
        <w:t>The outcome of pending litigation related to the Dakota Access Pipeline and any related executive orders could have a material adverse effect on our revenue and cash distributions.</w:t>
      </w:r>
    </w:p>
    <w:p>
      <w:pPr>
        <w:spacing w:after="0" w:line="16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ongoing litigation initiated in February 2017 by the Standing Rock Sioux Tribe and the Cheyenne River Sioux Tribe contesting the validity of the process used by the USACOE to permit the Dakota Access Pipeline, on July 6, 2020, the United States District Court for the District of Columbia (the “Court”) issued an order vacating the USACOE’s easement for the Dakota Access Pipeline and requiring that the pipeline be shut down by August 5, 2020. Dakota Access, LLC and the USACOE appealed the decision. On July 14, 2020, the Court of Appeals granted a temporary administrative stay, and on January 26, 2021, the Court of Appeals affirmed that part of the lower court decision vacating the USACOE’s easement while it prepares a new environmental impact statement, but reversed the lower court’s order to shut down the pipeline. Since then, both the Biden Administration and the Court have declined to shut down the pipeline, and on June 22, 2021, the Court dismissed the subject lawsuit. The Court noted, however, that future challenges were possible depending on the outcome of the ongoing environmental study, which the USACOE issued in draft form on September 8,</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2023. On October 14, 2024, the Standing Rock Sioux Tribe filed a new lawsuit in the U.S. District Court for the District of Columbia, alleging that the USACOE is allowing the pipeline to operate without the necessary easement and without an appropriate environmental impact statement. The USACOE and Dakota Access Pipeline filed motions to dismiss the case on January 17, 2025 The case was dismissed on March 28, 2025. The Standing Rock Sioux appealed that dismissal on May 29, 2025 and litigation is ongoing. The USACOE completed the final environmental impact study on December 19, 2025. Accordingly, the continued operation of Dakota Access Pipeline in the future is uncertain. While this litigation does not directly impact our operations, we derive a significant amount of revenue from the Royalty Properties and NPI we hold in the Bakken region, the region for which the Dakota Access Pipeline is considered to be a key pipeline. The outcome of this litigation may have a material adverse effect on our Royalty and NPI revenues derived from the Bakken region based on the timing of future development of wells on, or production of oil and natural gas from, or the method and cost of transportation related to the production on the properties. We have no control over the operation of such properties.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Our Common Units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reimbursement due our General Partner may be substantial and reduce our cash available to distribute to our unitholders.</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Prior to making any distribution on the common units, we reimburse the General Partner and its affiliates for reasonable costs and expenses of management. The reimbursement of expenses could adversely affect our ability to pay cash distributions to our unitholders. Our General Partner has sole discretion to determine the amount of these expenses, subject to the annual limit of 5% of an amount primarily based on our distributions to partners for that fiscal year. The annual limit includes carry-forward and carry-back features, which could allow costs in a year to exceed what would otherwise be the annual reimbursement limit. In addition, our General Partner and its affiliates may provide us with other services for which we will be charged fees as determined by our General Partner.</w:t>
      </w:r>
    </w:p>
    <w:p>
      <w:pPr>
        <w:spacing w:after="0" w:line="185" w:lineRule="exact"/>
        <w:rPr>
          <w:sz w:val="20"/>
          <w:szCs w:val="20"/>
          <w:color w:val="auto"/>
        </w:rPr>
      </w:pPr>
    </w:p>
    <w:p>
      <w:pPr>
        <w:ind w:left="180"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net income as reported for tax and financial statement purposes may differ significantly from our cash flow that is used to determine cash available for distributions.</w:t>
      </w:r>
    </w:p>
    <w:p>
      <w:pPr>
        <w:spacing w:after="0" w:line="1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income as reported for financial statement purposes is presented on an accrual basis in conformity with accounting principles generally accepted in the United States of America. Unitholder Schedule K-1 tax statements are calculated based on applicable tax conventions, and taxable income as calculated for each year will be allocated among unitholders who hold units on the last day of each month. Distributions, however, are calculated on the basis of actual cash receipts, changes in cash reserves, and disbursements during the relevant reporting period. Consequently, due to timing differences between the receipt of proceeds of production and the point in time at which the production giving rise to those proceeds actually occurs, net income reported on our consolidated financial statements and on unitholder Schedule K-1 tax statements will not reflect actual cash distributions during that reporting period.</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have limited voting rights and do not control our General Partner, and their ability to remove our General Partner is limited.</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unitholders have only limited voting rights on matters affecting our business. The general partner of our General Partner manages our activities. Our unitholders only have the right to annually elect the managers comprising the Advisory Committee of the Board of Managers of the general partner of our General Partner. Our unitholders do not have the right to elect the other managers of the general partner of our General Partner on an annual or any other basis.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may not be removed as our general partner except upon approval by the affirmative vote of the holders of at least a majority of our outstanding common units (including common units owned by our General Partner and its affiliates), subject to the satisfaction of certain conditions. Our General Partner and its affiliates do not own sufficient common units to be able to prevent its removal as general partner, but they do own sufficient common units to make the removal of our General Partner by other unitholders difficult.</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discourage a person or group from attempting to remove our General Partner or acquire control of us without the consent of our General Partner. As a result of these provisions, the price at which our common units trade may be lower because of the absence or reduction of a takeover premium in the trading price.</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control of our General Partner may be transferred to a third party without unitholder consent.</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or transfer its general partner interest to a third party in a merger or in a sale of all or substantially all of its assets without the consent of our unitholders. Other than some transfer restrictions agreed to among the owners of our General Partner relating to their interests in our General Partner, there is no restriction in our partnership agreement or otherwise for the benefit of our limited partners on the ability of the owners of our General Partner to transfer their ownership interests to a third party. The new owner of the General Partner would then be in a position to replace the management of our Partnership with its own choices.</w:t>
      </w:r>
    </w:p>
    <w:p>
      <w:pPr>
        <w:spacing w:after="0" w:line="181" w:lineRule="exact"/>
        <w:rPr>
          <w:sz w:val="20"/>
          <w:szCs w:val="20"/>
          <w:color w:val="auto"/>
        </w:rPr>
      </w:pPr>
    </w:p>
    <w:p>
      <w:pPr>
        <w:ind w:left="180" w:right="100"/>
        <w:spacing w:after="0" w:line="284" w:lineRule="auto"/>
        <w:rPr>
          <w:sz w:val="20"/>
          <w:szCs w:val="20"/>
          <w:color w:val="auto"/>
        </w:rPr>
      </w:pPr>
      <w:r>
        <w:rPr>
          <w:rFonts w:ascii="Times New Roman" w:cs="Times New Roman" w:eastAsia="Times New Roman" w:hAnsi="Times New Roman"/>
          <w:sz w:val="18"/>
          <w:szCs w:val="18"/>
          <w:i w:val="1"/>
          <w:iCs w:val="1"/>
          <w:color w:val="auto"/>
        </w:rPr>
        <w:t>A group of unitholders own a large percentage of our units and have the right to appoint a Manager to our Board of Managers and may be able to exert significant influence over certain matters.</w:t>
      </w:r>
    </w:p>
    <w:p>
      <w:pPr>
        <w:spacing w:after="0" w:line="16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West Texas Minerals LLC and Carrollton Mineral Partners, LP, and certain affiliates, beneficially hold, in the aggregate, approximately 5.2% of our outstanding Units. These unitholders, acting together, would be able to influence all matters requiring unitholder approval and have the right to appoint a Manager to our Board of Managers, for so long as they collectively hold an aggregate of at least 1,000,000 Units. For example, these unitholders would be able to influence amendments of our organizational documents, or approval of any merger, sale of assets, or other major corporate transactions.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right="180"/>
        <w:spacing w:after="0" w:line="284" w:lineRule="auto"/>
        <w:rPr>
          <w:sz w:val="20"/>
          <w:szCs w:val="20"/>
          <w:color w:val="auto"/>
        </w:rPr>
      </w:pPr>
      <w:r>
        <w:rPr>
          <w:rFonts w:ascii="Times New Roman" w:cs="Times New Roman" w:eastAsia="Times New Roman" w:hAnsi="Times New Roman"/>
          <w:sz w:val="18"/>
          <w:szCs w:val="18"/>
          <w:i w:val="1"/>
          <w:iCs w:val="1"/>
          <w:color w:val="auto"/>
        </w:rPr>
        <w:t>Our General Partner and its affiliates have conflicts of interests, which may permit our General Partner and its affiliates to favor their own interests to the detriment of unitholders.</w:t>
      </w:r>
    </w:p>
    <w:p>
      <w:pPr>
        <w:spacing w:after="0" w:line="16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and our General Partner and its affiliates share, and therefore compete for, the time and effort of General Partner personnel who provide services to us. Officers of our General Partner and its affiliates do not, and are not required to, spend any specified percentage or amount of time on our business. In fact, our General Partner has a duty to manage our Partnership in the best interests of our unitholders, but it also has a duty to operate its business for the benefit of its partners. Because these shared officers function as both our representatives and those of our General Partner and its affiliates, conflicts of interest could arise between our General Partner and its affiliates, on the one hand, and us or our unitholders, on the other. As a result of these conflicts, our General Partner and its affiliates may favor their own interests over the interests of unitholders.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may issue additional securities, diluting our unitholders' interests.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can and may issue additional common units and other capital securities representing limited partnership units, including options, warrants, rights, appreciation rights and securities with rights to distributions and allocations or in liquidation equal or superior to our common units; however, a majority of the unitholders must approve such issuance if (i) the partnership securities to be issued will have greater rights or powers than our common units or (ii) if after giving effect to such issuance, such newly issued partnership securities represent over 40% of the outstanding limited partnership interests.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we issue additional common units, it will reduce our unitholders' proportionate ownership interest in us. This could cause the market price of the common units to fall and reduce the per unit cash distributions paid to our unitholders. In addition, if we issue limited partnership units with voting rights superior to the common units, it could adversely affect our unitholders' voting power.</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not have limited liability in the circumstances described below and may be liable for the return of certain distributions.</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Under Delaware law, our unitholders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General Partner generally has unlimited liability for the obligations of our Partnership, such as its debts and environmental liabilities, except for those contractual obligations of our Partnership that are expressly made without recourse to the General Partner.</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Section 17-607 of the Delaware Revised Uniform Limited Partnership Act provides that, under certain circumstances, a unitholder may be liable for the amount of distribution for a period of three years from the date of distribution.</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Because we conduct our business in various states, the laws of those states may pose similar risks to our unitholders. To the extent to which we conduct business in any state, our unitholders might be held liable for our obligations as if they were general partners if a court or government agency determined that we had not complied with that state's partnership statute, or if rights of unitholders constituted participation in the "control" of our business under that state's partnership statute. In some of the states in which we conduct business, the limitations on the liability of limited partners for the obligations of a limited partnership have not been clearly established.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are dependent upon key personnel, and the loss of services of any of our key personnel could adversely affect our operations.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to a considerable extent upon the abilities and efforts of the senior management of our General Partner, our Chief Executive Officer, Bradley J. Ehrman, and Chief Financial Officer, Leslie A. Moriyama. The loss of the services of either of these key personnel could have a material adverse effect on the results of our operations. We have not obtained insurance or entered into employment agreements with either of these key personnel.</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are dependent on service providers who assist us with providing Schedule K-1 tax statements to our unitholders.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are a very limited number of service firms that currently perform the detailed computations needed to provide each unitholder with estimated depletion and other tax information to assist the unitholder in various U.S. federal income tax computations. There are also very few publicly traded limited partnerships that need these services. As a result, the future costs and timeliness of providing Schedule K-1 tax statements to our unitholders is uncertain.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 Factors</w:t>
      </w:r>
    </w:p>
    <w:p>
      <w:pPr>
        <w:spacing w:after="0" w:line="227" w:lineRule="exact"/>
        <w:rPr>
          <w:sz w:val="20"/>
          <w:szCs w:val="20"/>
          <w:color w:val="auto"/>
        </w:rPr>
      </w:pPr>
    </w:p>
    <w:p>
      <w:pPr>
        <w:ind w:left="180" w:right="480"/>
        <w:spacing w:after="0" w:line="315" w:lineRule="auto"/>
        <w:rPr>
          <w:sz w:val="20"/>
          <w:szCs w:val="20"/>
          <w:color w:val="auto"/>
        </w:rPr>
      </w:pPr>
      <w:r>
        <w:rPr>
          <w:rFonts w:ascii="Times New Roman" w:cs="Times New Roman" w:eastAsia="Times New Roman" w:hAnsi="Times New Roman"/>
          <w:sz w:val="17"/>
          <w:szCs w:val="17"/>
          <w:i w:val="1"/>
          <w:iCs w:val="1"/>
          <w:color w:val="auto"/>
        </w:rPr>
        <w:t>The tax consequences to a unitholder of the ownership and sale of common units will depend in part on the unitholder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tax circumstances. Each unitholder should consult such unitholder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own tax advisor about the federal, state and local tax consequences of the ownership of common units.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generally do not obtain rulings or assurances from the IRS or state or local taxing authorities on matters affecting us.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generally have not requested, and do not intend to request, rulings from the Internal Revenue Service, or IRS, or state or local taxing authorities with respect to owning and disposing of our common units or other matters affecting us. It may be necessary to resort to administrative or court proceedings in an effort to sustain some or all of those conclusions or positions taken or expressed by us, and some or all of those conclusions or positions ultimately may not be sustained. Our unitholders and General Partner will bear, directly or indirectly, the costs of any contest with the IRS or other taxing authority.</w:t>
      </w:r>
    </w:p>
    <w:p>
      <w:pPr>
        <w:spacing w:after="0" w:line="181" w:lineRule="exact"/>
        <w:rPr>
          <w:sz w:val="20"/>
          <w:szCs w:val="20"/>
          <w:color w:val="auto"/>
        </w:rPr>
      </w:pPr>
    </w:p>
    <w:p>
      <w:pPr>
        <w:ind w:left="180" w:right="80"/>
        <w:spacing w:after="0" w:line="284" w:lineRule="auto"/>
        <w:rPr>
          <w:sz w:val="20"/>
          <w:szCs w:val="20"/>
          <w:color w:val="auto"/>
        </w:rPr>
      </w:pPr>
      <w:r>
        <w:rPr>
          <w:rFonts w:ascii="Times New Roman" w:cs="Times New Roman" w:eastAsia="Times New Roman" w:hAnsi="Times New Roman"/>
          <w:sz w:val="18"/>
          <w:szCs w:val="18"/>
          <w:i w:val="1"/>
          <w:iCs w:val="1"/>
          <w:color w:val="auto"/>
        </w:rPr>
        <w:t>We will be subject to federal income tax and possibly certain state corporate income or franchise taxes if we are classified as a corporation and not as a partnership for federal income tax purposes.</w:t>
      </w:r>
    </w:p>
    <w:p>
      <w:pPr>
        <w:spacing w:after="0" w:line="16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federal income tax purposes. Despite the fact that we are organized as a limited partnership under Delaware law, we would be treated as a corporation for U.S. federal income tax purposes unless we satisfy a "qualifying income" requirement. Based upon our current operations, we believe we satisfy the qualifying income requirement. However, we have not requested, and do not plan to request, a ruling from the IRS on this or any other matter affecting us. A change in our business or a change in current law could cause us to be treated as a corporation for U.S. federal income tax purposes or otherwise subject us to taxation as an entity.</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were treated as a corporation for federal income tax purposes, we would pay federal income tax on our taxable income at the corporate tax rate, which is currently a maximum of 21%, and would likely pay state income tax at varying rates.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In addition, changes in current state law may subject us to additional entity-level taxation by individual states. Several states have subjected, or are evaluating ways to subject, partnerships to entity-level taxation through the imposition of state income, franchise and other forms of taxation. Imposition of any such taxes may substantially reduce the cash available for distribution to our unitholders. Therefore, treatment of us as a corporation or the assessment of a material amount of entity-level taxation would result in a material reduction in the anticipated cash flow and after-tax return to our unitholders, likely causing a substantial reduction in the value of our common units.</w:t>
      </w:r>
    </w:p>
    <w:p>
      <w:pPr>
        <w:spacing w:after="0" w:line="186" w:lineRule="exact"/>
        <w:rPr>
          <w:sz w:val="20"/>
          <w:szCs w:val="20"/>
          <w:color w:val="auto"/>
        </w:rPr>
      </w:pPr>
    </w:p>
    <w:p>
      <w:pPr>
        <w:ind w:left="180" w:right="1020"/>
        <w:spacing w:after="0" w:line="284" w:lineRule="auto"/>
        <w:rPr>
          <w:sz w:val="20"/>
          <w:szCs w:val="20"/>
          <w:color w:val="auto"/>
        </w:rPr>
      </w:pPr>
      <w:r>
        <w:rPr>
          <w:rFonts w:ascii="Times New Roman" w:cs="Times New Roman" w:eastAsia="Times New Roman" w:hAnsi="Times New Roman"/>
          <w:sz w:val="18"/>
          <w:szCs w:val="18"/>
          <w:i w:val="1"/>
          <w:iCs w:val="1"/>
          <w:color w:val="auto"/>
        </w:rPr>
        <w:t>The tax treatment of publicly traded partnerships or an investment in our common units could be subject to potential legislative, judicial or administrative changes or differing interpretations, possibly applied on a retroactive basis.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from time to time, the President and members of Congress propose and consider substantive changes to the existing U.S. federal income tax laws that affect publicly traded partnerships, including elimination of partnership tax treatment for publicly traded partnerships.</w:t>
      </w:r>
    </w:p>
    <w:p>
      <w:pPr>
        <w:spacing w:after="0" w:line="180"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Under current law, we believe that our royalty income is qualifying income for purposes of Section 7704(d)(1)(E) of the Internal Revenue Code of 1986, as amended (the “Code”). If the current law remains effective in its current form, we believe we will continue to be able to meet the qualifying income requirement. However, there can be no assurance that there will not be changes to the federal income tax laws or the Treasury Department's interpretation of the qualifying income rules in a manner that could impact our ability to qualify as a partnership for federal income tax purposes in the future.</w:t>
      </w:r>
    </w:p>
    <w:p>
      <w:pPr>
        <w:spacing w:after="0" w:line="183"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Any modification to the federal income tax laws and interpretations thereof may or may not be retroactively applied and could make it more difficult or impossible for us to be treated as a partnership for federal income tax purposes or otherwise adversely affect us. We are unable to predict whether any of these changes, or other proposals, will ultimately be enacted. Any such changes could negatively impact the value of an investment in our common units.</w:t>
      </w:r>
    </w:p>
    <w:p>
      <w:pPr>
        <w:spacing w:after="0" w:line="156" w:lineRule="exact"/>
        <w:rPr>
          <w:sz w:val="20"/>
          <w:szCs w:val="20"/>
          <w:color w:val="auto"/>
        </w:rPr>
      </w:pPr>
    </w:p>
    <w:p>
      <w:pPr>
        <w:ind w:left="180"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20% deduction for certain pass-through income may not be available for our unitholders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allocable share of our net income, in which case our unitholders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tax liability with respect to ownership and disposition of our units may be materially higher than if the deduction is available.</w:t>
      </w:r>
    </w:p>
    <w:p>
      <w:pPr>
        <w:spacing w:after="0" w:line="16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current law, which made permanent the 20% deduction that was set to expire on December 31, 2025, an individual taxpayer may generally claim a deduction in the amount of 20% of its allocable share of certain publicly traded partnership income, including generally, among other items, the net amount of its items of income, gain, deduction, and loss from a publicly traded partnership’s U.S. trade or business. Because we own only non-operated, passive mineral and royalty interests, most or all of the income that we now generate, or will generate in the future, may not be “qualifying publicly traded partnership income” eligible for the 20% deduction. If the deduction is not available, our unitholders’ tax liability from ownership and disposition of our units may be materially higher than if the deduction is available. We urge our unitholders to consult with their tax advisors regarding the availability of the 20% deduction on any income allocated from us.</w:t>
      </w:r>
    </w:p>
    <w:p>
      <w:pPr>
        <w:spacing w:after="0" w:line="187" w:lineRule="exact"/>
        <w:rPr>
          <w:sz w:val="20"/>
          <w:szCs w:val="20"/>
          <w:color w:val="auto"/>
        </w:rPr>
      </w:pPr>
    </w:p>
    <w:p>
      <w:pPr>
        <w:ind w:left="180" w:right="200"/>
        <w:spacing w:after="0" w:line="284" w:lineRule="auto"/>
        <w:rPr>
          <w:sz w:val="20"/>
          <w:szCs w:val="20"/>
          <w:color w:val="auto"/>
        </w:rPr>
      </w:pPr>
      <w:r>
        <w:rPr>
          <w:rFonts w:ascii="Times New Roman" w:cs="Times New Roman" w:eastAsia="Times New Roman" w:hAnsi="Times New Roman"/>
          <w:sz w:val="18"/>
          <w:szCs w:val="18"/>
          <w:i w:val="1"/>
          <w:iCs w:val="1"/>
          <w:color w:val="auto"/>
        </w:rPr>
        <w:t>The IRS could reallocate items of income, gain, deduction and loss between transferors and transferees of common units if the IRS does not accept our monthly convention for allocating such items.</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each of our items of income, gain, loss and deduction will, for federal income tax purposes, be determined annually, and one twelfth of each annual amount will be allocated to those unitholders who hold common units on the last business day of each month in that year. In certain circumstances we may make these allocations in connection with extraordinary or nonrecurring events on a more frequent basis. As a result, transferees of our common units may be allocated items of our income, gain, loss and deduction realized by us prior to the date of their acquisition of our common units. The U.S. Treasury Department has issued final Treasury regulations that provide a safe harbor pursuant to which publicly traded partnerships may use a similar monthly simplifying convention to allocate tax items among transferors and transferee unitholders. Nonetheless, if the IRS challenges our method of allocation, our income, gain, loss and deduction may be reallocated among our unitholders and our General Partner, and our unitholders may have more taxable income or less taxable loss. Our General Partner is authorized to revise our method of allocation between transferors and transferees, as well as</w:t>
      </w:r>
    </w:p>
    <w:p>
      <w:pPr>
        <w:sectPr>
          <w:pgSz w:w="11900" w:h="16838" w:orient="portrait"/>
          <w:cols w:equalWidth="0" w:num="1">
            <w:col w:w="11220"/>
          </w:cols>
          <w:pgMar w:left="320" w:top="121" w:right="359" w:bottom="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among our other unitholders whose common units otherwise vary during a taxable period, to conform to a method permitted or required by the Code and the regulations or rulings promulgated thereunder.</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not be able to deduct losses attributable to their common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losses relating to our unitholders’ common units will be losses related to portfolio income and their ability to use such losses may be limited.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partnership tax information may be audited.</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will furnish our unitholders with a Schedule K-1 tax statement that sets forth their allocable share of income, gains, losses and deductions. In preparing this schedule, we will use various accounting and reporting conventions and various depreciation and amortization methods we have adopted. This schedule may not yield a result that conforms to statutory or regulatory requirements or to administrative pronouncements of the IRS. Further, our tax return may be audited, and any such audit could result in an audit of our unitholders’ individual income tax returns as well as increased liabilities for taxes because of adjustments resulting from the audit. An audit of our unitholders’ returns also could be triggered if the tax information relating to their common units is not consistent with the Schedule K-1 that we are required to provide to the IRS.</w:t>
      </w:r>
    </w:p>
    <w:p>
      <w:pPr>
        <w:spacing w:after="0" w:line="185" w:lineRule="exact"/>
        <w:rPr>
          <w:sz w:val="20"/>
          <w:szCs w:val="20"/>
          <w:color w:val="auto"/>
        </w:rPr>
      </w:pPr>
    </w:p>
    <w:p>
      <w:pPr>
        <w:ind w:left="180" w:right="640"/>
        <w:spacing w:after="0" w:line="284" w:lineRule="auto"/>
        <w:rPr>
          <w:sz w:val="20"/>
          <w:szCs w:val="20"/>
          <w:color w:val="auto"/>
        </w:rPr>
      </w:pPr>
      <w:r>
        <w:rPr>
          <w:rFonts w:ascii="Times New Roman" w:cs="Times New Roman" w:eastAsia="Times New Roman" w:hAnsi="Times New Roman"/>
          <w:sz w:val="18"/>
          <w:szCs w:val="18"/>
          <w:i w:val="1"/>
          <w:iCs w:val="1"/>
          <w:color w:val="auto"/>
        </w:rPr>
        <w:t>Our unitholders may have more taxable income or less taxable loss with respect to their common units if the IRS does not respect our method for determining the adjusted tax basis of their common units.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reporting convention that will enable our unitholders to track the basis of their individual common units or unit groups and use this basis in calculating their basis adjustments under Section 743 of the Code and gain or loss on the sale of common units. This method does not comply with an IRS ruling that requires a portion of the combined tax basis of all common units to be allocated to each of the common units owned by a unitholder upon a sale or disposition of less than all of the common units and may be challenged by the IRS. If such a challenge is successful, our unitholders may recognize more taxable income or less taxable loss with respect to common units disposed of and common units they continue to hold.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Tax-exempt investors may recognize unrelated business taxable income.</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Generally, unrelated business taxable income, or UBTI, can arise from a trade or business unrelated to the exempt purposes of the tax-exempt entity that is regularly carried on by either the tax-exempt entity or a partnership in which the tax-exempt entity is a partner. However, UBTI does not apply to interest income, royalties (including overriding royalties) or net profits interests, whether the royalties or net profits are measured by production or by gross or taxable income from the property. Pursuant to the provisions of our partnership agreement, our General Partner shall use all reasonable efforts to prevent us from realizing income that would constitute UBTI. In addition, our General Partner is prohibited from incurring certain types and amounts of indebtedness and from directly owning working interests or cost bearing interests and, in the event that any of our assets become working interests or cost bearing interests, is required to assign such interests to the Operating Partnership subject to the reservation of a net profits overriding royalty interest. However, it is possible that we may realize income that would constitute UBTI in an effort to maximize unitholder value.</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consequences of certain NPIs are uncertain.</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prohibited from owning working interests or cost-bearing interests. At the time of the creation of the Minerals NPI, we assigned to the Operating Partnership all rights in any such working interests or cost-bearing interests that might subsequently be created from the mineral properties that were and are subject of the Minerals NPI. As additional working interests and other cost-bearing interests are created out of such mineral properties, they are owned by the Operating Partnership pursuant to such original assignment, and we have executed various documents since the creation of the Minerals NPI to confirm such treatment under the original assignment. This treatment could be characterized differently by the IRS, and in such a case we are unable to predict, with certainty, all of the income tax consequences relating to the Minerals NPI as it relates to such working interests and other cost-bearing interests.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not be entitled to deductions for percentage depletion with respect to our oil and natural gas interests.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unitholders will be entitled to deductions for the greater of either cost depletion or (if otherwise allowable) percentage depletion with respect to the oil and natural gas interests owned by us. However, percentage depletion is generally available to a unitholder only if the unitholder qualifies under the independent producer exemption contained in the Code. For this purpose, an independent producer is a person not directly or indirectly involved in the retail sale of oil, natural gas, or derivative products or the operation of a major refinery. If a unitholder does not qualify under the independent producer exemption, the unitholder generally will be restricted to deductions based on cost depletion.</w:t>
      </w:r>
    </w:p>
    <w:p>
      <w:pPr>
        <w:spacing w:after="0" w:line="181" w:lineRule="exact"/>
        <w:rPr>
          <w:sz w:val="20"/>
          <w:szCs w:val="20"/>
          <w:color w:val="auto"/>
        </w:rPr>
      </w:pPr>
    </w:p>
    <w:p>
      <w:pPr>
        <w:ind w:left="180" w:right="300"/>
        <w:spacing w:after="0" w:line="284" w:lineRule="auto"/>
        <w:rPr>
          <w:sz w:val="20"/>
          <w:szCs w:val="20"/>
          <w:color w:val="auto"/>
        </w:rPr>
      </w:pPr>
      <w:r>
        <w:rPr>
          <w:rFonts w:ascii="Times New Roman" w:cs="Times New Roman" w:eastAsia="Times New Roman" w:hAnsi="Times New Roman"/>
          <w:sz w:val="18"/>
          <w:szCs w:val="18"/>
          <w:i w:val="1"/>
          <w:iCs w:val="1"/>
          <w:color w:val="auto"/>
        </w:rPr>
        <w:t>Our unitholders may have more taxable income or less taxable loss on an ongoing basis if the IRS does not accept our method of allocating depletion deductions.</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Code requires that income, gain, loss and deduction attributable to appreciated or depreciated property that is contributed to a partnership in exchange for a partnership interest be allocated so that the contributing partner is charged with, or benefits from, unrealized gain or unrealized loss, referred to as “Built-in Gain” and “Built-in Loss,” respectively, associated with the property at the time of its contribution to the partnership. Our partnership agreement provides that the adjusted tax basis of the oil and natural gas properties contributed to us generally is allocated to the contributing partners for the purpose of separately determining depletion deductions. Any gain or loss resulting from the sale of property contributed to us generally will be allocated to the partners that contributed the property, in proportion to their percentage interest in the contributed property, to take into account any Built-in Gain or Built-in Loss. This method of allocating Built-in Gain and Built-in Loss is not specifically permitted by the applicable Treasury regulations, and the IRS may challenge this method. Such a challenge, if successful, could cause our unitholders to recognize more taxable income or less taxable loss on an ongoing basis in respect of their common units.</w:t>
      </w:r>
    </w:p>
    <w:p>
      <w:pPr>
        <w:spacing w:after="0" w:line="186" w:lineRule="exact"/>
        <w:rPr>
          <w:sz w:val="20"/>
          <w:szCs w:val="20"/>
          <w:color w:val="auto"/>
        </w:rPr>
      </w:pPr>
    </w:p>
    <w:p>
      <w:pPr>
        <w:ind w:left="180" w:right="740"/>
        <w:spacing w:after="0" w:line="284" w:lineRule="auto"/>
        <w:rPr>
          <w:sz w:val="20"/>
          <w:szCs w:val="20"/>
          <w:color w:val="auto"/>
        </w:rPr>
      </w:pPr>
      <w:r>
        <w:rPr>
          <w:rFonts w:ascii="Times New Roman" w:cs="Times New Roman" w:eastAsia="Times New Roman" w:hAnsi="Times New Roman"/>
          <w:sz w:val="18"/>
          <w:szCs w:val="18"/>
          <w:i w:val="1"/>
          <w:iCs w:val="1"/>
          <w:color w:val="auto"/>
        </w:rPr>
        <w:t>Our unitholders may have more taxable income or less taxable loss on an ongoing basis if the IRS does not accept our method of determining a unitholder's share of the basis of partnership property.</w:t>
      </w:r>
    </w:p>
    <w:p>
      <w:pPr>
        <w:spacing w:after="0" w:line="16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utilizes a method of calculating each unitholder's share of the basis of partnership property that results in an aggregate basis for depletion purposes that reflects the purchase price of common units as paid by the unitholder. This method is not specifically authorized under applicable Treasury regulations, and the IRS may challenge this method. Such a challenge, if successful, could cause our unitholders to recognize more taxable income or less taxable loss on an ongoing basis in respect of their common units.</w:t>
      </w:r>
    </w:p>
    <w:p>
      <w:pPr>
        <w:sectPr>
          <w:pgSz w:w="11900" w:h="16838" w:orient="portrait"/>
          <w:cols w:equalWidth="0" w:num="1">
            <w:col w:w="11240"/>
          </w:cols>
          <w:pgMar w:left="320" w:top="121"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ratio of the amount of taxable income that will be allocated to a unitholder to the amount of cash that will be distributed to a unitholder is uncertain, and cash distributed to a unitholder may not be sufficient to pay tax on the income we allocate to a unitholder.</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amount of taxable income realized by a unitholder will be dependent upon a number of factors, and so we cannot predict the ratio of the amount of taxable income that will be allocated to a unitholder to the amount of cash that will be distributed to a unitholder. Unitholders will be required to pay U.S. federal income taxes and, in some cases, state and local income taxes, on their share of taxable income, whether or not they receive cash distributions from us equal to their share of our taxable income or even equal to the actual tax liability that results from that income.</w:t>
      </w:r>
    </w:p>
    <w:p>
      <w:pPr>
        <w:spacing w:after="0" w:line="178"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A unitholder may lose its status as a partner of our Partnership for federal income tax purposes if the unitholder lends our common units to a short seller to cover a short sale of such common units.</w:t>
      </w:r>
    </w:p>
    <w:p>
      <w:pPr>
        <w:spacing w:after="0" w:line="16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a unitholder loans its common units to a short seller to cover a short sale of common units, the unitholder may be considered as having disposed of its ownership of those common units for federal income tax purposes. If so, the unitholder would no longer be a partner of our Partnership for tax purposes with respect to those common units during the period of the loan and may recognize gain or loss from the disposition. As a result, during this period, any of our income, gain, loss or deduction with respect to those common units would not be reportable, and any cash distributions received for those common units would be fully taxable and may be treated as ordinary income.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state and local taxes could be withheld on amounts otherwise distributable to a unitholder.</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unitholder may be required to file tax returns and be subject to tax liability in the foreign, state or local jurisdictions where the unitholder resides and in each state or local jurisdiction in which we have assets or otherwise do business. We also may be required to withhold state income tax from distributions otherwise payable to a unitholder, and state income tax may be withheld by others on royalty payments to us.</w:t>
      </w:r>
    </w:p>
    <w:p>
      <w:pPr>
        <w:spacing w:after="0" w:line="174" w:lineRule="exact"/>
        <w:rPr>
          <w:sz w:val="20"/>
          <w:szCs w:val="20"/>
          <w:color w:val="auto"/>
        </w:rPr>
      </w:pPr>
    </w:p>
    <w:p>
      <w:pPr>
        <w:ind w:left="180" w:right="120"/>
        <w:spacing w:after="0" w:line="284" w:lineRule="auto"/>
        <w:rPr>
          <w:sz w:val="20"/>
          <w:szCs w:val="20"/>
          <w:color w:val="auto"/>
        </w:rPr>
      </w:pPr>
      <w:r>
        <w:rPr>
          <w:rFonts w:ascii="Times New Roman" w:cs="Times New Roman" w:eastAsia="Times New Roman" w:hAnsi="Times New Roman"/>
          <w:sz w:val="18"/>
          <w:szCs w:val="18"/>
          <w:i w:val="1"/>
          <w:iCs w:val="1"/>
          <w:color w:val="auto"/>
        </w:rPr>
        <w:t>If the IRS makes audit adjustments to our income tax returns, it may collect any resulting taxes (including any applicable penalties and interest) directly from us, in which case our cash available for distribution to our unitholders might be substantially reduced.</w:t>
      </w:r>
    </w:p>
    <w:p>
      <w:pPr>
        <w:spacing w:after="0" w:line="16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may collect any resulting taxes (including any applicable penalties and interest) directly from us. We generally will have the ability to shift any such tax liability (including any applicable penalties and interest) to our General Partner and our unitholders in accordance with their interests in us during the year under audit, but there can be no assurance that we will be able to do so under all circumstances. If we are unable to have our unitholders take such audit adjustment into account in accordance with their interests in us during the tax year under audit, our current unitholders may bear some or all of the economic burden resulting from such audit adjustment, even if such unitholders did not own units in us during the tax year under audit. If we are required to make payments of taxes, penalties and interest resulting from audit adjustments, our cash available for distribution to our unitholders might be substantially reduced.</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be subject to withholding tax upon transfers of their common units.</w:t>
      </w:r>
    </w:p>
    <w:p>
      <w:pPr>
        <w:spacing w:after="0" w:line="227"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If a unitholder sells or otherwise disposes of a common unit on or after January 1, 2023, the transferee generally will be required to withhold 10% of the amount realized by the transferor unless the transferor certifies that it is not a foreign person. However, final regulations issued by the Treasury Department on the application of these rules to transfers of certain publicly traded partnership interests, including our common units, provide that the obligation to withhold on a transfer of interests in a publicly traded partnership that is effected through a broker is imposed on the transferor’s broker (instead of the transferee), and the “amount realized” on such a transfer will generally be the amount of gross proceeds paid to the broker effecting the applicable transfer on behalf of the transferor (and thus determined without regard to any decrease in that transferor’s share of the publicly traded partnership's liabilities). Prospective foreign unitholders should consult their tax advisors regarding the impact of these rules on an investment in our common units.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Public health threats could have an adverse effect on our Partnership, our cash flow and our industry.</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Public health threats and other highly communicable diseases, outbreaks of which have been occurring across the world, including the United States, could adversely impact our Partnership, drilling activities on our properties and the global economy.</w:t>
      </w:r>
    </w:p>
    <w:p>
      <w:pPr>
        <w:spacing w:after="0" w:line="16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particular, the outbreak starting in 2020 of a coronavirus (COVID-19) resulted in quarantines, restrictions on travel and a decrease in economic activity across the world, which then resulted in a decrease in demand for hydrocarbons. At its height, the COVID-19 pandemic had a significant negative effect on the global economy, supply chains and labor force participation, and created significant volatility in financial markets. While in May 2023 the World Health Organization (“WHO”) determined COVID-19 to be an established and ongoing health issue which no longer constitutes a public health emergency of international concern, the COVID-19 pandemic and its ongoing variants or a new global public health crisis may have a material adverse effect on the demand for hydrocarbons and the prices at which they are sold, which may impact our revenues and operating income, our cash distributions and our business generally. It is impossible to predict the effect of a global public health crisis, including continued spread, or fear of continued spread, of COVID-19 and its ongoing variants globally or the occurrence of a new global public health crisis of similar magnitude. No assurance can be given that public health threats will not have a material adverse effect on our business, operations and financial results.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Partnership may be adversely affected by the international economic instability caused by ongoing global conflicts.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2022 through 2025, multiple global military conflicts arose causing instability in the international economy which has continued into 2026. Although the length, impact and outcome of these military conflicts are highly unpredictable, an escalation or expansion of any of these conflicts could lead to significant market and other disruptions, including disruptions to the oil and gas industry, significant volatility in commodity prices and supply of energy resources, instability in financial markets, supply chain interruptions, political and social instability and other material and adverse effects on macroeconomic conditions. It is not possible at this time to predict or determine the ultimate consequences of these ongoing conflicts.</w:t>
      </w:r>
    </w:p>
    <w:p>
      <w:pPr>
        <w:spacing w:after="0" w:line="181" w:lineRule="exact"/>
        <w:rPr>
          <w:sz w:val="20"/>
          <w:szCs w:val="20"/>
          <w:color w:val="auto"/>
        </w:rPr>
      </w:pPr>
    </w:p>
    <w:p>
      <w:pPr>
        <w:ind w:left="180" w:right="220"/>
        <w:spacing w:after="0" w:line="284" w:lineRule="auto"/>
        <w:rPr>
          <w:sz w:val="20"/>
          <w:szCs w:val="20"/>
          <w:color w:val="auto"/>
        </w:rPr>
      </w:pPr>
      <w:r>
        <w:rPr>
          <w:rFonts w:ascii="Times New Roman" w:cs="Times New Roman" w:eastAsia="Times New Roman" w:hAnsi="Times New Roman"/>
          <w:sz w:val="18"/>
          <w:szCs w:val="18"/>
          <w:i w:val="1"/>
          <w:iCs w:val="1"/>
          <w:color w:val="auto"/>
        </w:rPr>
        <w:t>We will continue to incur increased costs as a result of operating as a public company, and our management will continue to devote substantial time to compliance with our public company responsibilities and corporate governance practices.</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and large accelerated filer, we have incurred and will continue to incur significant legal, accounting and other expenses. The Sarbanes-Oxley Act of 2002, or the Sarbanes Oxley Act, the Dodd-Frank Wall Street Reform and Consumer Protection Act, the listing requirements of the Nasdaq Global Select Market and other applicable securities rules and regulations impose various requirements on public companies. Our management and other personnel will need to continue to devote a substantial amount of time to comply with these requirements. Moreover, these rules and regulations have increased, and will continue to increase, our legal and financial compliance costs and will make some activities more time-consuming and costly. If, notwithstanding our efforts to comply with new or changing laws, regulations, and standards, we fail to comply, regulatory authorities may initiate legal proceedings against us, and our business may be harmed. Further, failure to comply with these laws, regulations and standards may make it more difficult and more expensive for us to obtain directors’ and officers’ liability insurance, which could make it more difficult for us to attract and retain qualified members to serve on our board of managers or committees or as members of senior management. 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Statements included in this report that are not historical facts (including any statements concerning plans and objectives of management for future operations or economic performance, or assumptions or forecasts related thereto), are forward-looking statements. These statements can be identified by the use of forward-looking terminology including “may,” “believe,” “will,” “expect,” “anticipate,” “estimate,” “continue,” or other similar words. These statements discuss future expectations, contain projections of results of operations or of financial condition or state other forward-looking information.</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current plans, expectations, estimates, assumptions and beliefs concerning future events impacting us and, therefore, involve a number of risks and uncertainties. We caution that forward-looking statements are not guarantees and that actual results could differ materially from those expressed or implied in the forward-looking statements for a number of important reasons, including those discussed under “Risk Factors” and elsewhere in this report. Examples of such reasons include, but are not limited to, changes in the price or demand for oil and natural gas, public health crises, the conflicts in Ukraine and the Middle East, the political uncertainty in Venezuela, changes in the operations on or development of our properties, changes in economic and industry conditions (including changes to tariff and import/export regulations by the United States or other countries) and changes in regulatory requirements (including changes in environmental requirements) and our financial position, business strategy and other plans and objectives for future operations.</w:t>
      </w:r>
    </w:p>
    <w:p>
      <w:pPr>
        <w:spacing w:after="0" w:line="19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You should read these statements carefully because they may discuss our expectations about our future performance, contain projections of our future operating results or our future financial condition, or state other forward-looking information. Before you invest, you should be aware that the occurrence of any of the events herein described in “Item 1A – Risk Factors” and elsewhere in this report and in the Partnership’s other filings with the Securities and Exchange Commission could substantially harm our business, results of operations and financial condition and that upon the occurrence of any of these events, the trading price of our common units could decline, and you could lose all or part of your investment.</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and our operators increasingly rely on information technology systems to operate our respective businesses, and the oil and natural gas industry depends on digital technologies in exploration, development, production, and processing activities. We depend on digital technology in many areas of our business and operations, including, but not limited to, estimating quantities of oil and natural gas reserves, processing and recording financial and operating data, oversight and analysis of drilling, completion and production operations and communications with the employees of the Operating Partnership and third party customers and services providers. We recognize the importance of assessing, identifying, and managing material risks associated with cybersecurity threats, as defined in Item 106(a) of Regulation S-K. These risks include, among other things: operational risks, gathering, misuse, loss or destruction of proprietary and other information, fraud, extortion, harm to employees or customers, violation of data privacy or security laws and disruption of other business activities. In addition, the rapid evolution and increased adoption of artificial intelligence tools and similar machine learning technologies may intensify our cybersecurity risks.</w:t>
      </w:r>
    </w:p>
    <w:p>
      <w:pPr>
        <w:spacing w:after="0" w:line="17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We maintain a comprehensive process for identifying, assessing, and managing material risks from cybersecurity threats as part of our broader risk management process. Our executive officers, along with input from our outsourced IT managed services provider, other external experts, and department managers, are responsible for our overall enterprise risk assessment and management process and regularly consider cybersecurity risks in the context of other material risks to the Partnership. We obtain input on the security industry and threat trends for our cybersecurity risk management processes from external experts, as appropriate. Our outsourced IT managed services provider has expertise in areas including, but not limited to, information technology and infrastructure, network and communications architecture, information systems and database management, back up management, and cybersecurity.</w:t>
      </w:r>
    </w:p>
    <w:p>
      <w:pPr>
        <w:spacing w:after="0" w:line="18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Our risk management process also assesses third party risks. We perform assessments to identify and mitigate risks from third parties such as vendors and other business partners associated with our use of third party service providers. Cybersecurity risks are evaluated when determining the selection and oversight of applicable third party service providers and potential fourth party risks when handling and/or processing employee, business, or customer data.</w:t>
      </w:r>
    </w:p>
    <w:p>
      <w:pPr>
        <w:spacing w:after="0" w:line="15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To protect our information systems from cybersecurity threats, we, among other things: (i) conduct regular reviews of information systems security programs and policies, (ii) perform penetration testing using external third party tools and techniques to test security controls, (iii) provide employee training, (iv) monitor emerging trends, laws, and regulations related to data protection and information security, and (v) use various security tools that help monitor, prevent, identify, escalate, investigate, resolve, and recover from identified vulnerabilities and security incidents in a timely manner, including, but not limited to, monitoring and detection tools managed by external experts and internal reporting.</w:t>
      </w:r>
    </w:p>
    <w:p>
      <w:pPr>
        <w:spacing w:after="0" w:line="18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in coordination with external experts, have implemented a cyber and data security incident response plan that has four overarching and interconnected stages: (i) preparation for a cybersecurity incident, (ii) identification, analysis, and notification of a security incident by external experts, as applicable, (iii) containment, eradication, and recovery, and (iv) post-incident analysis and learnings for future preparedness. Such incident responses are managed by our outsourced IT managed services provider, Chief Financial Officer (“CFO”), and department managers, who, together, comprise our primary incident response team. As part of our cybersecurity risk management process, our incident response team logs and tracks privacy and security incidents across the Partnership, vendors, third party service providers, and other business partners. Cyber and data security incidents are evaluated to determine materiality, as well as operational, business, and privacy impact, ranked by severity, and prioritized for response and remediation. Significant incidents are evaluated by the primary incident response team to determine whether further escalation is appropriate, and any incident assessed as potentially being or potentially becoming material is immediately escalated for further assessment and reported to the Chief Executive Officer (“CEO”). We consult with outside counsel and other subject matter experts regarding materiality analysis, disclosure, and other compliance matters, as appropriate, and our executive officers, with input from the Board of Managers, as appropriate, make the final materiality determinations and disclosure and other compliance decisions. Our management apprises the Partnership’s independent public accounting firm of matters and any relevant developments.</w:t>
      </w:r>
    </w:p>
    <w:p>
      <w:pPr>
        <w:spacing w:after="0" w:line="1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Advisory Committee of the Board of Managers of the general partner of our General Partner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of Managers for consideration. Reports are periodically provided to the Advisory Committee during our board meetings by the individuals who oversee risk management in cybersecurity. This includes existing and new cybersecurity risks, including artificial intelligence, status on how management is addressing and/or mitigating those risks, cybersecurity and data privacy incidents (if any), and status on key information security initiatives. Members of the Board of Managers also engage in ad hoc conversations with management on cybersecurity-related news events and discuss any updates to our cybersecurity risk management and strategy programs.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filing, 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 Risk Factors".</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corporate office is located in Dallas, Texas and consists of 11,847 square feet of leased office space.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own two categories of properties: Royalty Properties and net profits overriding royalty interests (referred to as the “Net Profits Interest”, or “NPI”).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Properties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own Royalty Properties representing producing and nonproducing mineral, royalty, overriding royalty, net profit and leasehold interests in properties located in 594 counties and parishes in 28 states. Acreage amounts listed herein represent our best estimates based on information provided to us as a royalty owner. Due to the significant number of individual deeds, leases and similar instruments involved in the acquisition and development of the Royalty Properties by us or our predecessors, acreage amounts are subject to change as new information becomes available. In addition, as a royalty owner, our access to information concerning activity and operations on the Royalty Properties is limited. Most of our producing properties are subject to old leases and other contracts pursuant to which we are not entitled to well information. Some of our newer leases provide for access to technical data and other information. We may have limited access to public data in some areas through third party subscription services. Consequently, the exact number of wells producing from or drilling on the Royalty Properties at a given point in time is not easily determinable. The primary manner by which we will become aware of activity on the Royalty Properties is receipt of division orders or other correspondence from operators or purchasers.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Acreage Summary</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December 31, 2025, a summary of our gross and net acres, where applicable, of mineral, royalty, overriding royalty and leasehold interests, and a compilation of the number of counties and parishes and states in which these interests are located. The majority of our net mineral acres are unleased.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Overriding</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Counties/Parishes</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525</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Acres</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2,953,000</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679,000</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370,000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Acres (where applicable)</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473,000</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net interest in production from royalty, overriding royalty and leasehold interests is based on lease royalty and other third party contractual terms, which vary from property to property. Consequently, net acreage ownership in these categories is not determinable. Our net interest in production from properties in which we own a royalty or overriding royalty interest may be affected by royalty terms negotiated by the previous mineral interest owners in such tracts and their lessees. Our interest in the majority of these properties is perpetual in nature. However, a minor portion of the properties are subject to terms and conditions pursuant to which a portion of our interest may terminate upon cessation of production.</w:t>
      </w:r>
    </w:p>
    <w:p>
      <w:pPr>
        <w:spacing w:after="0" w:line="18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December 31, 2025, the combined summary of total gross and net acres, where applicable, of mineral, royalty, overriding royalty and leasehold interests in each of the states in which these interests are located. Overriding royalty interests are only included in gross acre totals.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Alabama</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105,000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Montana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366,000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Arkansas</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Nebraska</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75,000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New Mexico</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23,000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North Dakota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523,000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Idaho</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&lt; 500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Oklahoma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273,000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Indiana</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&lt; 500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 500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Oregon</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Kansas</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Kentucky</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Louisiana</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136,000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2,041,000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10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Utah</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Mississippi</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West Virginia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&lt; 500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Missouri</w:t>
            </w:r>
          </w:p>
        </w:tc>
        <w:tc>
          <w:tcPr>
            <w:tcW w:w="2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&lt; 500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&lt; 500</w:t>
            </w: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Wyoming</w:t>
            </w:r>
          </w:p>
        </w:tc>
        <w:tc>
          <w:tcPr>
            <w:tcW w:w="1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32,000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Leasing Activity</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received $4.0 million during 2025 attributable to lease bonuses from new leases, extensions of existing leases, and pooling elections. These leases reflected bonus payments ranging up to $15,000/acre and initial royalty terms ranging up to 25%. The following table sets forth a summary of new leases, lease extensions, and pooling elections consummated during 2023, 2024 and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Counties</w:t>
            </w:r>
          </w:p>
        </w:tc>
        <w:tc>
          <w:tcPr>
            <w:tcW w:w="1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Royalty(1)</w:t>
            </w:r>
          </w:p>
        </w:tc>
        <w:tc>
          <w:tcPr>
            <w:tcW w:w="1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0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Bonus, $/acre(1)</w:t>
            </w:r>
          </w:p>
        </w:tc>
        <w:tc>
          <w:tcPr>
            <w:tcW w:w="27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4,779</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18,385</w:t>
            </w:r>
          </w:p>
        </w:tc>
      </w:t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Bonus (in millions)(2)</w:t>
            </w:r>
          </w:p>
        </w:tc>
        <w:tc>
          <w:tcPr>
            <w:tcW w:w="27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7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net acreage weighted average.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Bonus excludes proceeds of $5.4 million from assignment of leasehold in 2025.</w:t>
      </w:r>
    </w:p>
    <w:p>
      <w:pPr>
        <w:spacing w:after="0" w:line="23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Payments received for shut-in and delay rental payments, coal royalty, surface use agreements, litigation judgments and settlement proceeds are reflected in our accompanying consolidated financial statements in other operating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Profits Interests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NPI represents a net profits overriding royalty interest burdening various properties owned by the Operating Partnership. We receive monthly payments from the NPI equaling 96.97% of the net profits realized by the Operating Partnership from these properties in the preceding month. In the event that costs, including budgeted capital expenditures, exceed revenues on a cash basis in a given month for properties subject to the NPI, no payment is made, and any deficit is accumulated and reflected in the following month's calculation of net profit. In the event that the NPI has a deficit of cumulative revenue versus cumulative costs, the deficit will be borne solely by the Operating Partnership.</w:t>
      </w:r>
    </w:p>
    <w:p>
      <w:pPr>
        <w:spacing w:after="0" w:line="183"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From a cash perspective, as of December 31, 2025, the Minerals NPI had outstanding capital commitments, primarily in the Bakken region, of $8.5 million.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Acreage Summary</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tables set forth, as of December 31, 2025, information concerning properties owned by the Operating Partnership and subject to the NPI. Acreage amounts listed under “Leasehold” reflect gross acres leased by the Operating Partnership and the working interest share (net acres) in those properties. Acreage amounts listed under “Mineral” reflect gross acres in which the Operating Partnership owns a mineral interest and the undivided mineral interest (net acres) in those properties. The Operating Partnership's interest in these properties may be unleased, leased by others or a combination thereof. In addition to amounts listed below, the Operating Partnership owns interests limited to certain wellbores located on lands in which we own mineral, royalty or leasehold interests. The acreage amounts associated with the wellbore interests are included in Royalty Properties Acreage Summary and not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Counties/Parishes</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Acres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Acres</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states in which the acreage amounts listed above are located.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Mineral/Royalty</w:t>
            </w:r>
          </w:p>
        </w:tc>
        <w:tc>
          <w:tcPr>
            <w:tcW w:w="17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Arkansas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&lt; 500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Dakota</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&lt; 500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&lt; 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Others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&lt; 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leasehold acreage in Arkansas listed above includes all of the acreage in the Fayetteville Shale properties in which the Operating Partnership participates as a working interest owner.</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Productive Well Summary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as of December 31, 2025, the approximate combined number of producing wells on the properties subject to the NPI.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wells refer to wells in which a working interest is owned. Net wells are determined by multiplying gross wells by our working interest in those wells.</w:t>
      </w:r>
    </w:p>
    <w:p>
      <w:pPr>
        <w:spacing w:after="0" w:line="20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Productive Wells/Units(1)</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6760" w:type="dxa"/>
            <w:vAlign w:val="bottom"/>
          </w:tcPr>
          <w:p>
            <w:pPr>
              <w:spacing w:after="0"/>
              <w:rPr>
                <w:sz w:val="18"/>
                <w:szCs w:val="18"/>
                <w:color w:val="auto"/>
              </w:rPr>
            </w:pPr>
          </w:p>
        </w:tc>
        <w:tc>
          <w:tcPr>
            <w:tcW w:w="10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8"/>
                <w:szCs w:val="18"/>
                <w:color w:val="auto"/>
              </w:rPr>
            </w:pPr>
          </w:p>
        </w:tc>
      </w:tr>
      <w:tr>
        <w:trPr>
          <w:trHeight w:val="20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Dakota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others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all wells/units for which we received production revenue during the calendar year. Large, multi-well units paid on an aggregate basis are included as one gross well.</w:t>
      </w:r>
    </w:p>
    <w:p>
      <w:pPr>
        <w:sectPr>
          <w:pgSz w:w="11900" w:h="16838" w:orient="portrait"/>
          <w:cols w:equalWidth="0" w:num="1">
            <w:col w:w="11240"/>
          </w:cols>
          <w:pgMar w:left="320" w:top="121" w:right="339" w:bottom="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Well Activity</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first payments received for new wells on our Royalty Properties and NPI properties during 2025. The majority of the activity was concentrated in the Permian Basin, the Rockies, the Bakken region, and South Texas. Included in the table below are wells in which we own both a royalty interest and a net profits interest. Wells with such overlapping interests are counted in both categories.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Net Profits</w:t>
            </w:r>
          </w:p>
        </w:tc>
      </w:tr>
      <w:tr>
        <w:trPr>
          <w:trHeight w:val="238"/>
        </w:trPr>
        <w:tc>
          <w:tcPr>
            <w:tcW w:w="6780" w:type="dxa"/>
            <w:vAlign w:val="bottom"/>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Properties(1)</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8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Wells</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Wells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Counties/Parishes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5" w:lineRule="exact"/>
        <w:rPr>
          <w:sz w:val="20"/>
          <w:szCs w:val="20"/>
          <w:color w:val="auto"/>
        </w:rPr>
      </w:pPr>
    </w:p>
    <w:p>
      <w:pPr>
        <w:ind w:left="340" w:right="8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 gross and 1.5 net well additions were attributable to acquisitions closed during 2024. These well additions were in 13 counties and three states. 26 gross and 1.4 net well additions were attributable to the acquisition closed during the third quarter of 2025. These well additions were in Adams County, Colorado. We anticipate receiving more first payments for new wells attributable to the acquisition closed during the third quarter of 2025 in the first half of 2026.</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have and will continue to consider a range of transaction structures for our unleased mineral interests including leasing to third parties, working interest participation through the Operating Partnership, electing non-consent under State laws, or a combination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Reserves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below table reflects the Partnership's proved developed producing reserves as of December 31, 2025, 2024, and 2023. The reserves are based on the reports of independent petroleum engineering consulting firm LaRoche Petroleum Consultants, Ltd. (“LPC”), who is registered with the Engineering Board of the State of Texas and has been engaged in the business of oil and natural gas property evaluation since its formation in 1979. Other than our filings with the SEC, we have not filed the estimated proved reserves with, or included them in any reports to, any federal agency. Copies of the reports prepared by LPC are attached hereto as Exhibits 99.1 and 99.2.</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Partnership’s petroleum engineer and CEO work closely with our third party reserve engineers to ensure integrity, accuracy, and timeliness of the data used to calculate our estimated proved developed producing reserves. Our petroleum engineer met with our third party engineers periodically during the reserve report process to discuss the assumptions and methods used in the proved reserve estimation process. The Partnership does not have information that would be available to a company with oil and natural gas operations because detailed information is not generally available to owners of royalty interests. We provide historical information to the third party reserve engineers for our properties such as ownership interest, oil and natural gas production, realized commodity pricing, and production and operating costs. The third party reserve engineers extrapolate from this information estimates of the proved reserves attributable to the Royalty Properties and NPI based on their expertise in the oil and natural gas fields where the Royalty Properties and NPI are situated, as well as publicly available information. Ensuring compliance with generally accepted petroleum engineering and evaluation methods and procedures is the responsibility of the Partnership’s CEO. Our CEO has a bachelor’s degree in Petroleum Engineering from the University of Alberta and has worked in the upstream oil and natural gas business in various capacities since 1996.</w:t>
      </w:r>
    </w:p>
    <w:p>
      <w:pPr>
        <w:spacing w:after="0" w:line="19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proved reserve estimates were prepared in accordance with our internal control procedures. During the period covered by the reserve report, our petroleum engineer met with LPC to review properties and discuss evaluation methods and assumptions used in the proved reserves estimates, in accordance with our prescribed internal control procedures. Our internal controls over the reserves estimation process include verification of input data used in LPC’s reserves evaluation software as well as reviews by our petroleum engineer and CEO, which include the following:</w:t>
      </w:r>
    </w:p>
    <w:p>
      <w:pPr>
        <w:spacing w:after="0" w:line="180" w:lineRule="exact"/>
        <w:rPr>
          <w:sz w:val="20"/>
          <w:szCs w:val="20"/>
          <w:color w:val="auto"/>
        </w:rPr>
      </w:pPr>
    </w:p>
    <w:p>
      <w:pPr>
        <w:ind w:left="1380" w:hanging="333"/>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ownership interests in the reserves database against our internal ownership data;</w:t>
      </w:r>
    </w:p>
    <w:p>
      <w:pPr>
        <w:spacing w:after="0" w:line="27" w:lineRule="exact"/>
        <w:rPr>
          <w:rFonts w:ascii="Times New Roman" w:cs="Times New Roman" w:eastAsia="Times New Roman" w:hAnsi="Times New Roman"/>
          <w:sz w:val="18"/>
          <w:szCs w:val="18"/>
          <w:color w:val="auto"/>
        </w:rPr>
      </w:pPr>
    </w:p>
    <w:p>
      <w:pPr>
        <w:ind w:left="1380" w:right="360" w:hanging="333"/>
        <w:spacing w:after="0" w:line="250"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historical realized commodity prices and differentials from index prices compared to the differentials used in the reserves database;</w:t>
      </w:r>
    </w:p>
    <w:p>
      <w:pPr>
        <w:ind w:left="1380" w:hanging="333"/>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actual historical production volumes compared to projections in the reserve report; and</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preliminary reserve estimates by our CEO with our petroleum engineer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80" w:type="dxa"/>
            <w:vAlign w:val="bottom"/>
            <w:gridSpan w:val="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Summary of Oil and Natural Gas Reserves as of Fiscal Year-End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Proved Developed Producing and located in the United States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7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Royalty Properties</w:t>
            </w:r>
          </w:p>
        </w:tc>
        <w:tc>
          <w:tcPr>
            <w:tcW w:w="26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Net Profits Interests(1)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80" w:type="dxa"/>
            <w:vAlign w:val="bottom"/>
            <w:vMerge w:val="continue"/>
          </w:tcPr>
          <w:p>
            <w:pPr>
              <w:spacing w:after="0"/>
              <w:rPr>
                <w:sz w:val="17"/>
                <w:szCs w:val="17"/>
                <w:color w:val="auto"/>
              </w:rPr>
            </w:pPr>
          </w:p>
        </w:tc>
        <w:tc>
          <w:tcPr>
            <w:tcW w:w="1280" w:type="dxa"/>
            <w:vAlign w:val="bottom"/>
            <w:tcBorders>
              <w:top w:val="single" w:sz="8" w:color="auto"/>
            </w:tcBorders>
          </w:tcPr>
          <w:p>
            <w:pPr>
              <w:jc w:val="right"/>
              <w:ind w:right="410"/>
              <w:spacing w:after="0" w:line="205" w:lineRule="exact"/>
              <w:rPr>
                <w:sz w:val="20"/>
                <w:szCs w:val="20"/>
                <w:color w:val="auto"/>
              </w:rPr>
            </w:pPr>
            <w:r>
              <w:rPr>
                <w:rFonts w:ascii="Times New Roman" w:cs="Times New Roman" w:eastAsia="Times New Roman" w:hAnsi="Times New Roman"/>
                <w:sz w:val="18"/>
                <w:szCs w:val="18"/>
                <w:color w:val="auto"/>
              </w:rPr>
              <w:t>Oil(2)</w:t>
            </w:r>
          </w:p>
        </w:tc>
        <w:tc>
          <w:tcPr>
            <w:tcW w:w="122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Natural Gas</w:t>
            </w:r>
          </w:p>
        </w:tc>
        <w:tc>
          <w:tcPr>
            <w:tcW w:w="240" w:type="dxa"/>
            <w:vAlign w:val="bottom"/>
          </w:tcPr>
          <w:p>
            <w:pPr>
              <w:spacing w:after="0"/>
              <w:rPr>
                <w:sz w:val="17"/>
                <w:szCs w:val="17"/>
                <w:color w:val="auto"/>
              </w:rPr>
            </w:pPr>
          </w:p>
        </w:tc>
        <w:tc>
          <w:tcPr>
            <w:tcW w:w="1320" w:type="dxa"/>
            <w:vAlign w:val="bottom"/>
            <w:tcBorders>
              <w:top w:val="single" w:sz="8" w:color="auto"/>
            </w:tcBorders>
          </w:tcPr>
          <w:p>
            <w:pPr>
              <w:ind w:left="360"/>
              <w:spacing w:after="0" w:line="205" w:lineRule="exact"/>
              <w:rPr>
                <w:sz w:val="20"/>
                <w:szCs w:val="20"/>
                <w:color w:val="auto"/>
              </w:rPr>
            </w:pPr>
            <w:r>
              <w:rPr>
                <w:rFonts w:ascii="Times New Roman" w:cs="Times New Roman" w:eastAsia="Times New Roman" w:hAnsi="Times New Roman"/>
                <w:sz w:val="18"/>
                <w:szCs w:val="18"/>
                <w:color w:val="auto"/>
              </w:rPr>
              <w:t>Oil(2)</w:t>
            </w:r>
          </w:p>
        </w:tc>
        <w:tc>
          <w:tcPr>
            <w:tcW w:w="11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Natural Gas</w:t>
            </w:r>
          </w:p>
        </w:tc>
        <w:tc>
          <w:tcPr>
            <w:tcW w:w="220" w:type="dxa"/>
            <w:vAlign w:val="bottom"/>
          </w:tcPr>
          <w:p>
            <w:pPr>
              <w:spacing w:after="0"/>
              <w:rPr>
                <w:sz w:val="17"/>
                <w:szCs w:val="17"/>
                <w:color w:val="auto"/>
              </w:rPr>
            </w:pPr>
          </w:p>
        </w:tc>
        <w:tc>
          <w:tcPr>
            <w:tcW w:w="1440" w:type="dxa"/>
            <w:vAlign w:val="bottom"/>
            <w:tcBorders>
              <w:top w:val="single" w:sz="8" w:color="auto"/>
            </w:tcBorders>
          </w:tcPr>
          <w:p>
            <w:pPr>
              <w:jc w:val="right"/>
              <w:ind w:right="570"/>
              <w:spacing w:after="0" w:line="205" w:lineRule="exact"/>
              <w:rPr>
                <w:sz w:val="20"/>
                <w:szCs w:val="20"/>
                <w:color w:val="auto"/>
              </w:rPr>
            </w:pPr>
            <w:r>
              <w:rPr>
                <w:rFonts w:ascii="Times New Roman" w:cs="Times New Roman" w:eastAsia="Times New Roman" w:hAnsi="Times New Roman"/>
                <w:sz w:val="18"/>
                <w:szCs w:val="18"/>
                <w:color w:val="auto"/>
              </w:rPr>
              <w:t>Oil(2)</w:t>
            </w:r>
          </w:p>
        </w:tc>
        <w:tc>
          <w:tcPr>
            <w:tcW w:w="100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w w:val="99"/>
              </w:rPr>
              <w:t>Natural Gas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(mbbls)</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(mmcf)</w:t>
            </w:r>
          </w:p>
        </w:tc>
        <w:tc>
          <w:tcPr>
            <w:tcW w:w="240" w:type="dxa"/>
            <w:vAlign w:val="bottom"/>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(mbbls)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(mmcf)</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(mbbls)</w:t>
            </w: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(mmcf)</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8,174</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31,239</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5,393</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9,472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9,398</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31,651</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3,948</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11,069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6,642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28,138</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5,213</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reflect 96.97% of the corresponding amounts assigned to the Operating Partnership’s interests in the NPI properties.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reserves include volumes attributable to natural gas liquids.</w:t>
      </w:r>
    </w:p>
    <w:p>
      <w:pPr>
        <w:spacing w:after="0" w:line="20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Proved oil and natural gas reserves means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governmental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See “Item 7 – Management’s Discussion and Analysis of Financial Condition and Results of Operations – Results of Operations” for average sales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29"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have satisfactory title to all of our assets. Record title to essentially all of our assets has undergone the appropriate filings in the jurisdictions in which such assets are located. Title to property may be subject to encumbrances. We believe that none of such encumbrances should</w:t>
      </w:r>
    </w:p>
    <w:p>
      <w:pPr>
        <w:sectPr>
          <w:pgSz w:w="11900" w:h="16881" w:orient="portrait"/>
          <w:cols w:equalWidth="0" w:num="1">
            <w:col w:w="11240"/>
          </w:cols>
          <w:pgMar w:left="320" w:top="121" w:right="339" w:bottom="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materially detract from the value of our properties or from our interest in these properties or should materially interfere with their use in the operation of our business.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5" w:name="page36"/>
    <w:bookmarkEnd w:id="35"/>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Partnership and the Operating Partnership are involved in legal and/or administrative proceedings arising in the ordinary course of their businesses, none of which have predictable outcomes. We do not believe that the resolution of these matters will have a material adverse impact on our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UNITHOLDER MATTERS AND ISSUER PURCHASES OF EQUITY SECURITIES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units trade on the NASDAQ Global Select Market under the ticker symbol “DMLP”.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there were 22,832 common unitholders.</w:t>
      </w:r>
    </w:p>
    <w:p>
      <w:pPr>
        <w:spacing w:after="0" w:line="225"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requires that we make quarterly distributions in an amount equal to all funds that we receive from the Royalty Properties and the NPI (other than cash proceeds received by the Partnership from a public or private offering of securities of the Partnership) less certain expenses and reasonable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Performance Graph below compares the cumulative five-year total unitholder return on our common units beginning December 31, 2020, and for each subsequent year end through and including December 31, 2025, with cumulative returns of the S&amp;P 500 Index, the SPDR S&amp;P Oil and Gas Exploration and Production ETF (“XOP”), and an industry peer group selected by us. The industry peer group we selected is comprised of the following companies: Black Stone Minerals, L.P., Viper Energy, Inc., and Kimbell Royalty Partners, L.P. In prior years, we compared our cumulative five-year total unitholder return to an industry peer group selected by us that we believed appropriately reflected the minerals and royalties industry. Over time, however, consolidation within the minerals and royalties industry has resulted in a smaller, less stable set of entities. As a result, the composition of the industry peer group has changed frequently and has introduced volatility that we believe no longer provides a consistent or meaningful basis for comparison. Beginning with this year’s performance graph, we have selected the XOP index for comparison. XOP represents a broader and more stable industry benchmark composed of a diversified set of oil and natural gas exploration companies. We believe use of this index enhances comparability and provides unitholders with a more consistent, long-term measure of our relative total unitholder return performance.</w:t>
      </w:r>
    </w:p>
    <w:p>
      <w:pPr>
        <w:spacing w:after="0" w:line="19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Performance Graph assumes $100 was invested in our common units and in the index and industry peer group described above on December 31, 2020. Distribution or dividend reinvestments have been assumed on the payment dates. The stock performance shown on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6000750" cy="3308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1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12/31/2022</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12/31/2023</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12/31/2025</w:t>
            </w:r>
          </w:p>
        </w:tc>
      </w:tr>
      <w:tr>
        <w:trPr>
          <w:trHeight w:val="210"/>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Dorchester Minerals, L.P.</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342.06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408.60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354.05</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128.71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196.16</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XOP</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163.88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215.83</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Industry Peer Group</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318.66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406.36</w:t>
            </w:r>
          </w:p>
        </w:tc>
      </w:tr>
    </w:tbl>
    <w:p>
      <w:pPr>
        <w:spacing w:after="0" w:line="198" w:lineRule="exact"/>
        <w:rPr>
          <w:sz w:val="20"/>
          <w:szCs w:val="20"/>
          <w:color w:val="auto"/>
        </w:rPr>
      </w:pPr>
    </w:p>
    <w:p>
      <w:pPr>
        <w:sectPr>
          <w:pgSz w:w="11900" w:h="16864" w:orient="portrait"/>
          <w:cols w:equalWidth="0" w:num="1">
            <w:col w:w="11240"/>
          </w:cols>
          <w:pgMar w:left="320" w:top="121"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64" w:orient="portrait"/>
          <w:cols w:equalWidth="0" w:num="1">
            <w:col w:w="11240"/>
          </w:cols>
          <w:pgMar w:left="320" w:top="121" w:right="339" w:bottom="0"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30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560" w:type="dxa"/>
            <w:vAlign w:val="bottom"/>
            <w:tcBorders>
              <w:top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Units that</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5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18"/>
                <w:szCs w:val="18"/>
                <w:color w:val="auto"/>
              </w:rPr>
            </w:pPr>
          </w:p>
        </w:tc>
        <w:tc>
          <w:tcPr>
            <w:tcW w:w="11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80" w:type="dxa"/>
            <w:vAlign w:val="bottom"/>
          </w:tcPr>
          <w:p>
            <w:pPr>
              <w:spacing w:after="0"/>
              <w:rPr>
                <w:sz w:val="18"/>
                <w:szCs w:val="18"/>
                <w:color w:val="auto"/>
              </w:rPr>
            </w:pPr>
          </w:p>
        </w:tc>
        <w:tc>
          <w:tcPr>
            <w:tcW w:w="11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5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8"/>
                <w:szCs w:val="18"/>
                <w:color w:val="auto"/>
              </w:rPr>
            </w:pPr>
          </w:p>
        </w:tc>
        <w:tc>
          <w:tcPr>
            <w:tcW w:w="116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5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80" w:type="dxa"/>
            <w:vAlign w:val="bottom"/>
          </w:tcPr>
          <w:p>
            <w:pPr>
              <w:spacing w:after="0"/>
              <w:rPr>
                <w:sz w:val="18"/>
                <w:szCs w:val="18"/>
                <w:color w:val="auto"/>
              </w:rPr>
            </w:pPr>
          </w:p>
        </w:tc>
        <w:tc>
          <w:tcPr>
            <w:tcW w:w="11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or</w:t>
            </w:r>
          </w:p>
        </w:tc>
      </w:tr>
      <w:tr>
        <w:trPr>
          <w:trHeight w:val="245"/>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 Unit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56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6"/>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October 1, 2025 – October 31, 2025</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133,306(1)</w:t>
            </w:r>
          </w:p>
        </w:tc>
      </w:tr>
      <w:tr>
        <w:trPr>
          <w:trHeight w:val="209"/>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November 1, 2025 – November 30, 2025</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133,306(1)</w:t>
            </w:r>
          </w:p>
        </w:tc>
      </w:tr>
      <w:tr>
        <w:trPr>
          <w:trHeight w:val="210"/>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22.27</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98,306(1)</w:t>
            </w:r>
          </w:p>
        </w:tc>
      </w:tr>
      <w:tr>
        <w:trPr>
          <w:trHeight w:val="209"/>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22.27</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98,306(1)</w:t>
            </w:r>
          </w:p>
        </w:tc>
      </w:tr>
    </w:tbl>
    <w:p>
      <w:pPr>
        <w:spacing w:after="0" w:line="198" w:lineRule="exact"/>
        <w:rPr>
          <w:sz w:val="20"/>
          <w:szCs w:val="20"/>
          <w:color w:val="auto"/>
        </w:rPr>
      </w:pPr>
    </w:p>
    <w:p>
      <w:pPr>
        <w:ind w:left="660" w:right="24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units that our General Partner may grant under the Dorchester Minerals Management LP Equity Incentive Program, originally adopted on May 20, 2015, by Dorchester Minerals Operating LP, the Partnership’s sole limited partner, as amended and restated and adopted by the Partnership on October 20, 2022, and, subsequently, as amended and restated as of October 4, 2023, which was approved by our common unitholders on October 4, 2023 (the “Equity Incentive Program”), each fiscal year may not exceed 0.333% of the number of common units outstanding at the beginning of the fiscal year. In 2025, the maximum number of common units that could be purchased under the Equity Incentive Program is 157,641 common units.</w:t>
      </w:r>
    </w:p>
    <w:p>
      <w:pPr>
        <w:spacing w:after="0" w:line="18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Open-market purchases by the Operating Partnership, an affiliate of the Partnership, pursuant to a Rule 10b5-1 plan adopted on November 12, 2025, for the purpose of satisfying equity awards to be granted pursuant to the Equity Incentive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229"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The following discussion summarizes our results of operations and liquidity and capital resources for the fiscal years ended December 31, 2025, and 2024, and should be read in conjunction with our Consolidated Financial Statements and the accompanying notes included elsewhere in this Annual Report. A discussion of results of operations and liquidity and capital resources for fiscal year 2023 has been omitted from this report but may be found at “Item 7 – Management’s Discussion and Analysis of Financial Condition and Results of Operations” of our Annual Report on Form 10-K for the fiscal year ended December 31, 2024, filed with the SEC on February 20, 2025, and is incorporated by reference in this report from such prior Annual Report on Form 10-K. We intend for this discussion to provide the reader with information that will assist in understanding our consolidated financial statements, the changes in certain key items in those consolidated financial statements from period to period, and the primary factors that accounted for those changes.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Overview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results during 2025 were mainly driven by lower industrywide realized oil prices versus 2024, decreases in NPI properties oil and natural gas sales volumes due to lower drilling activity in the Bakken region, and increased capital expenditures deducted under the NPI calculation, offset by increases in Royalty Properties oil and natural gas sales volumes from incremental production from 2024 and 2025 acquisitions and continued drilling activity in the Rockies, increased leasing activity, and higher industrywide realized natural gas sales prices versus 2024. Significant results include the following:</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$57.4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$132.0 million to our limited partners;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mineral interests representing approximately 3,050 net royalty acres located in Adams County, Colorado in exchange for</w:t>
      </w:r>
    </w:p>
    <w:p>
      <w:pPr>
        <w:spacing w:after="0" w:line="27"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915,694 common units representing limited partnership interests in the Partnership valued at $23.0 million and issued pursuant to the Partnership's registration statement on Form S-4;</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payments on 761 gross and 5 net new wells on our Royalty Properties, of which 250 gross and three net wells were attributable to our</w:t>
      </w:r>
    </w:p>
    <w:p>
      <w:pPr>
        <w:spacing w:after="0" w:line="27" w:lineRule="exact"/>
        <w:rPr>
          <w:rFonts w:ascii="Times New Roman" w:cs="Times New Roman" w:eastAsia="Times New Roman" w:hAnsi="Times New Roman"/>
          <w:sz w:val="18"/>
          <w:szCs w:val="18"/>
          <w:color w:val="auto"/>
        </w:rPr>
      </w:pPr>
    </w:p>
    <w:p>
      <w:pPr>
        <w:ind w:left="66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and 2025 acquisitions, and on 108 gross and one net new wells on our NPI properties. The wells were located in 43 counties and parishes in seven states with the majority of the activity concentrated in the Permian Basin, the Rockies, and the Bakken region. Included in these totals are wells in which we own both a royalty interest and a net profits overriding royalty interest. Wells with such overlapping interests are counted in both categories;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leasehold interest in Upton County, Texas, with proceeds totaling $5.4 million; and</w:t>
      </w:r>
    </w:p>
    <w:p>
      <w:pPr>
        <w:spacing w:after="0" w:line="25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bonus of $4.0 million includes consummation of leases or extension of existing leases of our mineral interests in undeveloped properties located in 13 counties in five states. Of the $4.0 million, $3.6 million was attributable to an extension of an existing lease on 243 net acres in two tracts of land in Reagan County, Texas for $15,000 per acre and a 25% royalty.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Partnership’s consolidated financial statements are prepared in accordance with accounting principles generally accepted in the United States (“U.S. GAAP”), which requires us to make certain estimates and apply judgments that affect our financial position and results of operations as reflected in our consolidated financial statements. Actual results may differ from those estimates. The Partnership’s accounting policies are summarized in Note 2 of the Notes to Consolidated Financial Statements in “Item 8 – Financial Statements and Supplementary Data”.</w:t>
      </w:r>
    </w:p>
    <w:p>
      <w:pPr>
        <w:spacing w:after="0" w:line="18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Management continually reviews our accounting policies, how they are applied, and how they are reported and disclosed in our consolidated financial statements. The following items require significant estimation or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Properties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utilize the full cost method of accounting for costs related to our oil and natural gas properties. Under this method, all such costs are capitalized and amortized on an aggregate basis over the estimated lives of the properties using the unit-of-production method. These capitalized costs are subject to a ceiling test, which limits such pooled costs to the aggregate of the present value of future net revenues attributable to proved oil and natural gas reserves discounted at 10% plus the lower of cost or market value of unproved properties.</w:t>
      </w:r>
    </w:p>
    <w:p>
      <w:pPr>
        <w:spacing w:after="0" w:line="180"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discounted present value of our proved oil and natural gas reserves is a major component of the ceiling test calculation and requires many subjective judgments. Estimates of reserves are forecasts based on engineering and geological analyses. Different reserve engineers could reach different conclusions as to estimated quantities of oil and natural gas reserves based on the same information. The passage of time provides more qualitative and quantitative information regarding reserve estimates, and revisions are made to prior estimates based on updated information. However, there can be no assurance that more significant revisions will not be necessary in the future. Significant downward revisions could result in an impairment representing a non-cash charge to income. In addition to the impact on the calculation of the ceiling test, estimates of proved reserves are also a major component of the calculation of depletion.</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the quantities of proved reserves require substantial judgment, the associated prices of oil and natural gas reserves that are included in the discounted present value of our reserves are objectively determined. The ceiling test calculation requires use of the unweighted arithmetic average of the first day of the month price during the 12-month period ending on the balance sheet date and costs in effect as of the last day of the accounting period, which are generally held constant for the life of the properties. As a result, the present value is not necessarily an indication of the fair value of the reserves. Oil and natural gas prices have historically been volatile, and the prevailing prices at any given time may not reflect our Partnership’s or the industry’s forecast of future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pricing of oil and natural gas sales from the Royalty Properties and NPI is primarily determined by supply and demand in the marketplace and can fluctuate considerably. As a royalty owner, we have no operational control over the volumes and method of sale of oil and natural gas produced and sold from the Royalty Properties and NPI.</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Revenues from Royalty Properties and NPI are recorded under the cash receipts approach as directly received from the remitters’ statement accompanying the revenue check. Since the revenue checks are generally received two to three months after the production month, the Partnership accrues for revenue earned but not received by estimating production volumes and product prices. Estimates of uncollected revenues and unpaid expenses from Royalty Properties (which are interests in oil and natural gas leases that give the Partnership the right to receive a portion of the production from the leased acreage, without bearing the costs of such production) and net profits overriding royalty interests (referred to as the “Net Profits Interest”, or “NPI”) operated by nonaffiliated entities are particularly subjective due to our inability to gain accurate and timely information. Identified differences between our accrued revenue estimates and actual revenue received historically have not been significant.</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Partnership does not record revenue for unsatisfied or partially unsatisfied performance obligations. The Partnership’s right to revenues from Royalty Properties and NPI occurs at the time of production, at which point, payment is unconditional, and no remaining performance obligation exists for the Partnership. Accordingly, the Partnership’s revenue contracts for Royalty Properties and NPI do not generate contract assets or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Normally, our period-to-period changes in net income and cash flows from operating activities are principally determined by changes in oil and natural gas sales volumes and prices, and to a lesser extent, by capital expenditures deducted under the NPI calculation. Our portion of oil and natural gas sales volumes and average sales prices are shown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Accrual basis sales volumes:</w:t>
            </w:r>
          </w:p>
        </w:tc>
        <w:tc>
          <w:tcPr>
            <w:tcW w:w="15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Properties natural gas sales (mmcf)</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6,132</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5,680</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Royalty Properties oil sales (mbbls)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2,002</w:t>
            </w:r>
          </w:p>
        </w:tc>
        <w:tc>
          <w:tcPr>
            <w:tcW w:w="4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1,943</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natural gas sales (mmcf)</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NPI oil sales (mbbls)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4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Accrual basis average sales price:</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Properties natural gas sales ($/mcf)</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Royalty Properties oil sales ($/bbl)</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natural gas sales ($/mcf)</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NPI oil sales ($/bbl)</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64.02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increase in oil sales volumes attributable to our Royalty Properties during 2025 versus 2024 is primarily a result of incremental increases in baseline production in the Permian Basin and Rockies from wells acquired in 2024 and 2025 and higher suspense releases on new wells on legacy acreage in the Rockies, partially offset by lower suspense releases on new wells on legacy acreage in the Permian Basin and Bakken region and decreased baseline production from legacy wells in the Permian Basin. The increase in natural gas sales volumes attributable to our Royalty Properties during 2025 versus 2024 is primarily a result of incremental increases in baseline production in the Permian Basin and Rockies from wells acquired in 2024 and 2025 and higher suspense releases on new wells on legacy acreage in the Rockies, partially offset by lower suspense releases on new wells on legacy acreage in the Permian Basin and lower suspense releases on new wells on legacy acreage and decreased baseline production from legacy wells in the Mid-Continent and East Texas.</w:t>
      </w:r>
    </w:p>
    <w:p>
      <w:pPr>
        <w:spacing w:after="0" w:line="19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decrease in oil and natural gas sales volumes attributable to our NPI properties during 2025 versus 2024 is primarily the result of decreased baseline production and lower suspense releases on new wells in the Permian Basin and Bakken region, partially offset by increased suspense releases on existing wells in the Permian Basin in the second and third quarters of 2025 versus 2024.</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increase in lease bonus revenue from 2024 to 2025 is primarily attributable to receipt of $3.6 million in 2025 from an extension of an existing lease, wherein the Partnership leased 243 net acres in two tracts of land in Reagan County, Texas for $15,000 per acre, and receipt of $5.4 million from an assignment of leasehold interests.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Production taxes and operating expenses attributable to our Royalty Properties increased a combined 9% from 2024 to 2025. The increase is primarily a result of higher proportionate natural gas production taxes and post-production costs, such as compression, transportation, processing, and marketing, due to higher natural gas sales revenue and volumes and higher ad valorem taxes, partially offset by lower proportionate oil production taxes due to lower oil sales revenue.</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Depreciation, depletion and amortization increased 56% from 2024 to 2025. Depletion is the amount of cost basis of oil and natural gas properties at the beginning of a period attributable to the volume of reserves extracted during such period, calculated on a units-of-production basis. Estimates of proved developed producing reserves are a major component in the calculation of depletion. We adjust our depletion rate each quarter for significant changes in our estimates of oil and natural gas reserves, including recent acquisitions and suspense releases on new wells.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12% from 2024 to 2025. The increase is primarily attributable to increased legal and other professional services fees, higher regulatory filing fees due to the Partnership’s S-4 registration statement filing in the first quarter of 2025, increased data service and technology costs, and higher compensation expense, including an expanded Operating Partnership equity program designed for employee retention.</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remained consistent from 2024 to 2025. The lack of change is primarily due to lower NPI payment receipts, lower revenue receipts attributable to our Royalty Properties, net of production taxes and operating expenses, and higher general and administrative expenses being offset by higher lease bonus and other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for Units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On August 29, 2025, pursuant to a non-taxable contribution and exchange agreement with multiple unrelated third parties, the Partnership acquired mineral interests totaling approximately 3,050 net royalty acres located in Adams County, Colorado in exchange for 915,694 common units representing limited partnership interests in the Partnership valued at $23.0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$1.8 million is included in net cash contributed in acquisitions on the consolidated statement of cash flows for the year ended December 31, 2025.</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West Texas Minerals LLC, a Delaware limited liability company, Carrollton Mineral Partners, LP, a Texas limited partnership, Carrollton Mineral Partners Fund II, LP, a Texas limited partnership, Carrollton Mineral Partners III, LP, a Texas limited partnership, Carrollton Mineral Partners III-B, LP, a Texas limited partnership, Carrollton Mineral Partners IV, LP, a Texas limited partnership, CMP Permian, LP, a Texas limited partnership, CMP Glasscock, LP, a Texas limited partnership, and Carrollton Royalty, LP, a Texas limited partnership, the Partnership acquired mineral, royalty, and overriding royalty interests in producing and non-producing oil and natural gas properties representing approximately 14,225 net mineral acres located in 14 counties across New Mexico and Texas in exchange for 6,721,144 common units representing limited partnership interests in the Partnership valued at $202.6 million and issued pursuant to the Partnership’s registration statements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$8.8 million is included in net cash contributed in acquisitions on the consolidated statement of cash flows for the year ended December 31, 2024. Final settlement net cash received, net of capitalized transaction costs paid, of $1.9 million is included in net cash contributed in acquisitions on the consolidated statement of cash flows for the year ended December 31, 2025.</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an unrelated third party, the Partnership acquired overriding royalty interests totaling approximately 1,204 net royalty acres located in Weld County, Colorado in exchange for 530,000 common units representing limited partnership interests in the Partnership valued at $16.0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$1.4 million is included in net cash contributed in acquisitions on the consolidated statement of cash flows for the year ended December 31, 2024.</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On March 28, 2024, pursuant to a non-taxable contribution and exchange agreement with multiple unrelated third parties, the Partnership acquired mineral interests totaling approximately 1,485 net royalty acres located in two counties in Colorado in exchange for 505,369 common units representing limited partnership interests in the Partnership valued at $17.0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$4.4 million is included in net cash contributed in acquisitions on the consolidated statement of cash flows for the year ended December 31, 2024. Final settlement net cash received, net of capitalized transaction costs paid, of $0.2 million is included in net cash contributed in acquisitions on the consolidated statement of cash flows for the year ended December 31, 2025.</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Margin Tax</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Texas imposes a franchise tax (commonly referred to as the Texas margin tax) at a rate of 0.75% on gross revenues less certain deductions, as specifically set forth in the Texas margin tax statute. The Texas margin tax applies to corporations and limited liability companies, general and limited partnerships (unless otherwise exempt), limited liability partnerships, trusts (unless otherwise exempt), business trusts, business associations, professional associations, joint stock companies, holding companies, joint ventures and certain other business entities having limited liability protection.</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Limited partnerships that receive at least 90% of their gross income from designated passive sources, including royalties from mineral properties and other non-operated mineral interest income, and do not receive more than 10% of their income from operating an active trade or business, are generally exempt from the Texas margin tax as “passive entities.” We believe our Partnership meets the requirements for being considered a “passive entity” for Texas margin tax purposes and, therefore, it is exempt from the Texas margin tax. If the Partnership is exempt from Texas margin tax as a passive entity, each unitholder that is considered a taxable entity under the Texas margin tax would generally be required to include its portion of Partnership revenues in its own Texas margin tax computation. The Texas Administrative Code provides such income is sourced according to the principal place of business of the Partnership, which would be the state of Texas.</w:t>
      </w:r>
    </w:p>
    <w:p>
      <w:pPr>
        <w:spacing w:after="0" w:line="18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Each unitholder is urged to consult an independent tax advisor regarding the requirements for filing state income, franchise and Texas margin tax returns.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primary sources of capital, on both a short-term and long-term basis, are our cash flows from the Royalty Properties and the NPI. Our partnership agreement requires that we distribute quarterly an amount equal to all funds that we receive from the Royalty Properties and NPI (other than cash proceeds received by the Partnership from a public or private offering of securities of the Partnership) less certain expenses and reasonable reserves. Additional cash requirements include the payment of oil and natural gas production and property taxes not otherwise deducted from gross production revenues and general and administrative expenses incurred on our behalf and allocated to the Partnership in accordance with the partnership agreement. Because the distributions to our unitholders are, by definition, determined after the payment of all expenses actually paid by us, the only cash requirements that may create liquidity concerns for us are the payment of expenses. Because many of these expenses vary directly with oil and natural gas sales prices and volumes, we anticipate that sufficient funds will be available at all times for payment of these expenses. See below for the dates of cash distributions to unitholders.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Partnership leases its office space at 3838 Oak Lawn Avenue, Suite 300, Dallas, Texas, through an operating lease (the “Office Lease”). The third amendment to our Office Lease was executed in April 2017 for a term of 129 months, beginning June 1, 2018, and expiring in 2029. Under the third amendment to the Office Lease, monthly rental payments range from $25,000 to $30,000. Future maturities of Office Lease liabilities representing monthly cash rental payment obligations are summarized in Note 7 of the Notes to Consolidated Financial Statements in “Item 8 – Financial Statements and Supplementary Data”.</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directly liable for the payment of any exploration, development or production costs. We do not have any transactions, arrangements or other relationships that could materially affect our liquidity or the availability of capital resources. We have not guaranteed the debt of any other party, nor do we have any other arrangements or relationships with other entities that could potentially result in unconsolidated debt.</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the extent necessary to avoid unrelated business taxable income, our partnership agreement prohibits us from incurring indebtedness, excluding trade payables, in excess of $50,000 in the aggregate at any given time or which would constitute “acquisition indebtedness” (as defined in Section 514 of the Code).</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currently expect to have sufficient liquidity to fund our distributions to unitholders and operations. However, our liquidity and ability to fund future distributions may be affected by material uncertainties arising from factors beyond our control, including: ongoing global military conflicts such as those in Ukraine and the Middle East; current inflation and interest rates; political uncertainty in Venezuela; changes to tariff and import/export regulations by the United States or other countries; and prevailing economic conditions in the oil and natural gas market and other financial and business factors. We cannot predict events that may lead to future oil and natural gas price volatility. If market conditions were to change due to declines in oil prices, uncertainty created by military conflicts, or changes in trade policy, and our revenues were reduced significantly or our operating costs were to increase significantly, our cash flows and liquidity could be reduced. The current economic environment is volatile, and we cannot predict the ultimate long-term impact on our liquidity or cash flows from these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Working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were $41.9 million as of December 31, 2025, and $42.5 million as of December 31, 2024.</w:t>
      </w:r>
    </w:p>
    <w:p>
      <w:pPr>
        <w:sectPr>
          <w:pgSz w:w="11900" w:h="16838" w:orient="portrait"/>
          <w:cols w:equalWidth="0" w:num="1">
            <w:col w:w="11220"/>
          </w:cols>
          <w:pgMar w:left="320" w:top="121"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to limited partners and the General Partner related to cash receipts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Per Unit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Limited</w:t>
            </w:r>
          </w:p>
        </w:tc>
        <w:tc>
          <w:tcPr>
            <w:tcW w:w="420" w:type="dxa"/>
            <w:vAlign w:val="bottom"/>
          </w:tcPr>
          <w:p>
            <w:pPr>
              <w:spacing w:after="0"/>
              <w:rPr>
                <w:sz w:val="16"/>
                <w:szCs w:val="16"/>
                <w:color w:val="auto"/>
              </w:rPr>
            </w:pPr>
          </w:p>
        </w:tc>
        <w:tc>
          <w:tcPr>
            <w:tcW w:w="10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Pr>
          <w:p>
            <w:pPr>
              <w:spacing w:after="0"/>
              <w:rPr>
                <w:sz w:val="16"/>
                <w:szCs w:val="16"/>
                <w:color w:val="auto"/>
              </w:rPr>
            </w:pPr>
          </w:p>
        </w:tc>
      </w:tr>
      <w:tr>
        <w:trPr>
          <w:trHeight w:val="238"/>
        </w:trPr>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0"/>
                <w:szCs w:val="20"/>
                <w:color w:val="auto"/>
              </w:rPr>
            </w:pPr>
          </w:p>
        </w:tc>
        <w:tc>
          <w:tcPr>
            <w:tcW w:w="1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00" w:type="dxa"/>
            <w:vAlign w:val="bottom"/>
          </w:tcPr>
          <w:p>
            <w:pPr>
              <w:spacing w:after="0"/>
              <w:rPr>
                <w:sz w:val="20"/>
                <w:szCs w:val="20"/>
                <w:color w:val="auto"/>
              </w:rPr>
            </w:pPr>
          </w:p>
        </w:tc>
        <w:tc>
          <w:tcPr>
            <w:tcW w:w="17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00" w:type="dxa"/>
            <w:vAlign w:val="bottom"/>
          </w:tcPr>
          <w:p>
            <w:pPr>
              <w:spacing w:after="0"/>
              <w:rPr>
                <w:sz w:val="20"/>
                <w:szCs w:val="20"/>
                <w:color w:val="auto"/>
              </w:rPr>
            </w:pPr>
          </w:p>
        </w:tc>
      </w:tr>
      <w:tr>
        <w:trPr>
          <w:trHeight w:val="210"/>
        </w:trPr>
        <w:tc>
          <w:tcPr>
            <w:tcW w:w="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4th</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3, 2025</w:t>
            </w:r>
          </w:p>
        </w:tc>
        <w:tc>
          <w:tcPr>
            <w:tcW w:w="1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February 13,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0.739412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r>
      <w:tr>
        <w:trPr>
          <w:trHeight w:val="216"/>
        </w:trPr>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1st</w:t>
            </w: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May 5, 2025</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May 15, 2025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0.725835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34,360</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2nd</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4, 2025</w:t>
            </w:r>
          </w:p>
        </w:tc>
        <w:tc>
          <w:tcPr>
            <w:tcW w:w="1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 14,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0.620216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29,361</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3rd</w:t>
            </w: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2025</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November 13, 2025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0.689883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33,291</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r>
      <w:tr>
        <w:trPr>
          <w:trHeight w:val="210"/>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20" w:type="dxa"/>
            <w:vAlign w:val="bottom"/>
            <w:gridSpan w:val="6"/>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distributions paid in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2.775346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132,016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4,928</w:t>
            </w:r>
          </w:p>
        </w:tc>
      </w:tr>
      <w:tr>
        <w:trPr>
          <w:trHeight w:val="234"/>
        </w:trPr>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4th</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February 12, 2026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0.755712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36,467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the limited partners are allocated 96% of the Royalty Properties’ net receipts and 99% of NPI net receipts.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Profits Interest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receive monthly payments from the Operating Partnership equal to 96.97% of the net proceeds realized by the Operating Partnership from the properties underlying the Net Profits Interest (or “NPI”). The Operating Partnership retains the 3.03% balance of these net proceeds. Net proceeds generally reflect gross proceeds attributable to oil and natural gas production actually received during the month, less production costs actually paid during the same month, net of budgeted capital expenditures. Production costs generally reflect drilling, completion, operating and general and administrative costs and exclude depletion, amortization and other non-cash costs. The Operating Partnership made NPI payments to us totaling $18.3 million during October</w:t>
      </w:r>
    </w:p>
    <w:p>
      <w:pPr>
        <w:spacing w:after="0" w:line="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2024 through September 2025, which payments reflected 96.97% of total net proceeds of $18.9 million realized from September 2024 through August 2025. Net proceeds realized by the Operating Partnership during September through November 2025 were reflected in NPI payments made during October through December 2025. These payments were included in the fourth quarter distribution paid February 12, 2026, and are excluded from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analysis.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Royalty Properties</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Revenues from the Royalty Properties are typically paid to us with proportionate severance (production) taxes deducted and remitted by others. Additionally, we generally pay ad valorem taxes, general and administrative costs, and marketing and associated costs because royalties and lease bonuses generally do not otherwise bear operating or similar costs. After deduction of the costs described above, including cash reserves, our net cash receipts from the Royalty Properties during October 2024 through September 2025 were $118.6 million, of which $113.9 million (96%) was distributed to the limited partners and $4.7 million (4%) was distributed to the General Partner. Proceeds received by us from the Royalty Properties during October through December 2025 became part of the fourth quarter distribution paid on February 12, 2026, and are excluded from this 2025 analysis.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Distribution Determinations</w:t>
      </w:r>
    </w:p>
    <w:p>
      <w:pPr>
        <w:spacing w:after="0" w:line="22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actual calculation of distributions is performed each calendar quarter in accordance with our partnership agreement. The following calculation covering the period October 2024 through September 2025 demonstrates the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of net cash receipts from Royalty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 of net cash receipts from Royalty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of NPI payments to our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of NPI payments to our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7227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distributions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Partnership share (3.03% of net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7227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General Partner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Limited</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General</w:t>
            </w: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4,745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113,864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18,152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132,016</w:t>
            </w:r>
          </w:p>
        </w:tc>
        <w:tc>
          <w:tcPr>
            <w:tcW w:w="180" w:type="dxa"/>
            <w:vAlign w:val="bottom"/>
          </w:tcPr>
          <w:p>
            <w:pPr>
              <w:spacing w:after="0"/>
              <w:rPr>
                <w:sz w:val="18"/>
                <w:szCs w:val="18"/>
                <w:color w:val="auto"/>
              </w:rPr>
            </w:pP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2">
            <w:col w:w="6600" w:space="720"/>
            <w:col w:w="3920"/>
          </w:cols>
          <w:pgMar w:left="320" w:top="121" w:right="339" w:bottom="1440" w:gutter="0" w:footer="0" w:header="0"/>
          <w:type w:val="continuous"/>
        </w:sect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summary, our limited partners received 96%, and our General Partner received 4% of the net cash generated by our activities and those of the Operating Partnership during this period. Due to these fixed percentages, our General Partner does not have any incentive distribution rights or other right or arrangement that will increase its percentage share of net cash generated by our activities or those of the Operating Partnership.</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period October 2024 through September 2025, our Partnership's quarterly distribution payments to limited partners were based on all of its available cash, as defined in "Item 1 – Business".</w:t>
      </w:r>
    </w:p>
    <w:p>
      <w:pPr>
        <w:sectPr>
          <w:pgSz w:w="11900" w:h="16838" w:orient="portrait"/>
          <w:cols w:equalWidth="0" w:num="1">
            <w:col w:w="11240"/>
          </w:cols>
          <w:pgMar w:left="320" w:top="121" w:right="339" w:bottom="1440" w:gutter="0" w:footer="0" w:header="0"/>
          <w:type w:val="continuous"/>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Fourth Quarter 2025 Distribution Indicated Price</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an effort to provide information concerning prices of oil and natural gas sales that correspond to our quarterly distributions, management calculates the average price by dividing gross revenues received by the net volumes of the corresponding product without regard to the timing of the production to which such sales may be attributable. This “indicated price” does not necessarily reflect the contractual terms for such sales and may be affected by transportation costs, location differentials, and quality and gravity adjustments. While the relationship between the Partnership's cash receipts and the timing of the production of oil and natural gas may be described generally, actual cash receipts may be materially impacted by purchasers’ release of suspended funds and by prior period adjustments.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Cash receipts attributable to the Partnership's Royalty Properties during the fourth quarter of 2025 totaled $32.2 million. Approximately 62% of these receipts reflect oil sales during September 2025 through November 2025 and natural gas sales during August 2025 through October 2025, and approximately 38% from prior sales periods. The average indicated prices for oil and natural gas sales attributable to the Royalty Properties during the 2025 fourth quarter were $54.98/bbl and $1.91/mcf, respectively.</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Cash receipts attributable to the Partnership's NPI during the fourth quarter of 2025 totaled $4.0 million. Approximately 66% of these receipts reflect oil and natural gas sales during August 2025 through October 2025, and approximately 34% from prior sales periods. The average indicated prices for oil and natural gas sales attributable to the NPI were $54.47/bbl and $2.16/mcf,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our partnership agreement, we bear all general and administrative and other overhead expenses subject to certain limitations. We reimburse our General Partner for certain allocable costs, including rent, wages, salaries and employee benefit plans that are not direct expenses. This reimbursement is limited to an amount equal to the sum of 5% of our distributions plus certain costs previously paid. For the year ended December 31, 2025, the reimbursement amounts actually paid or reserved did not exceed the limitation.</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pricing of oil and natural gas sales is primarily determined by supply and demand in the global marketplace and can fluctuate considerably. As a royalty owner and non-operator, we have extremely limited access to timely information and no operational control over the volumes of oil and natural gas produced and sold or the terms and conditions on which such volumes are marketed and sold.</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profitability is affected by oil and natural gas market prices. Oil and natural gas market prices have fluctuated significantly in recent years in response to factors outside of our control, including the war in Ukraine, conflicts in the Middle East, fluctuations in interest rates, global supply chain disruptions, political uncertainty in Venezuela, and actions taken by OPEC+. It is not possible for us to predict or determine how these factors might affect oil and natural gas market prices in the future. We continue to monitor factors impacting commodity supply and demand situations, including changes to tariff and import/export regulations by the United States or other countries, and assess their impact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 and Trading Relationships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April 2025, the U.S. government announced a baseline tariff of 10% on products imported from all countries and an additional individualized reciprocal tariff on the countries with which the United States has the largest trade deficits, including China. Increased tariffs by the United States have led and may continue to lead to the imposition of retaliatory tariffs by foreign jurisdictions. Additionally, the U.S. government has announced, adjusted and rescinded multiple tariffs on several foreign jurisdictions, which has increased uncertainty regarding the ultimate effect of the tariffs on economic conditions. Continued uncertainties about tariffs and their effects on trading relationships may affect costs for and availability of raw materials or contribute to inflation in the markets in which we own properties. Although we are continuing to monitor the economic effects of such announcements and adjustments, as well as opportunities to mitigate their related impacts, costs and other effects associated with the tariffs remain uncertain.</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Global oil markets are contending with tariff impacts, geopolitical tensions, and oil supply dynamics, including the evolving OPEC+ production strategy and potential constraints on Iranian, Russian, and Venezuelan oil exports. It is unclear how recent volatility in commodity prices will affect changes in North American production activity and oil producers are evaluating a range of scenarios in anticipation of oil price pressure in light of the foregoing. Gas producers could prove to be beneficiaries of potentially lower associated gas production in oil-weighted basins if oil production is curtailed. Larger, well-capitalized producers that comprise a greater portion of present North American shale production, are better able to withstand a broader range of commodity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Credit Risk</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principal exposure to credit risk results from receivables generated by the production activities of our operators. We do not require collateral and the failure or inability of our operators to meet their obligations to us due to their liquidity issues, bankruptcy, insolvency, or liquidation may adversely affect our financial results. However, we believe the credit risk associated with our operators and customers is acceptable. Volatility in the commodity pricing environment and macroeconomic conditions may enhance our purchaser credit risk. See Note 2 of the Notes to Consolidated Financial Statements in “Item 8 – Financial Statements and Supplementary Data” for further detail of our concentration of credit risks and significant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anticipate having a credit facility or incurring any debt, other than trade debt. Therefore, we do not expect interest rate risk to be material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are set forth herein commencing on page F-1.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2025. Based on this evaluation, our Chief Executive Officer and Chief Financial Officer have concluded that, as of December 31, 2025, our disclosure controls and procedures were effective, in that they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Management acknowledges its responsibility for establishing and maintaining adequate internal control over financial reporting in accordance with Rule 13a-15(f) promulgated under the Securities Exchange Act of 1934. Management has also evaluated the effectiveness of its internal control over financial reporting in accordance with generally accepted accounting principles within the guidelines of the Committee of Sponsoring Organizations of the Treadway Commission framework (2013). Based on the results of this evaluation, management has determined that the Partnership’s internal control over financial reporting was effective as of December 31, 2025. The independent registered public accounting firm of Grant Thornton LLP (PCAOB ID Number 248), as auditors of the Partnership’s consolidated financial statements included in the Annual Report, has issued an attestation report on the Partnership’s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Partnership’s internal control over financial reporting (as defined in Rule 13a-15(f) of the Securities Exchange Act of 1934) during the quarter ended December 31, 2025,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and year ended December 31, 2025, none of our executive officers or directors adopted or terminated any contract, instruction or written plan for the purchase or sale of our securities that was intended to satisfy the affirmative defense conditions of Rule 10b5-1(c) of any “Non-Rule 10b5-1 trading arrangement.”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including information about our Managers, Executive Officers, Partnership Governance and Audit Committee, is incorporated herein by reference to the 2026 Proxy Statement, which will be filed with the Securities and Exchange Commission not later than 120 days subsequent to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Managers, the officers and employees of the Operating Partnership, or the Partnership itself that we believe is reasonably designed to promote compliance with insider trading laws, rules and regulations, and NASDAQ listing standards. A copy of our insider trading policy is filed as Exhibit 19.1 to this Annual Report.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2026 Proxy Statement, which will be filed with the Securities and Exchange Commission not later than 120 days subsequent to December 31, 2025.</w:t>
      </w:r>
    </w:p>
    <w:p>
      <w:pPr>
        <w:spacing w:after="0" w:line="15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UNITHOLDER MATTERS</w:t>
      </w:r>
    </w:p>
    <w:p>
      <w:pPr>
        <w:spacing w:after="0" w:line="15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2026 Proxy Statement, which will be filed with the Securities and Exchange Commission not later than 120 days subsequent to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2026 Proxy Statement, which will be filed with the Securities and Exchange Commission not later than 120 days subsequent to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2026 Proxy Statement, which will be filed with the Securities and Exchange Commission not later than 120 days subsequent to December 31, 2025.</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8"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620" w:hanging="478"/>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Schedules</w:t>
      </w:r>
    </w:p>
    <w:p>
      <w:pPr>
        <w:spacing w:after="0" w:line="25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Consolidated Financial Statements on page F-1.</w:t>
      </w:r>
    </w:p>
    <w:p>
      <w:pPr>
        <w:spacing w:after="0" w:line="25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schedules are required.</w:t>
      </w:r>
    </w:p>
    <w:p>
      <w:pPr>
        <w:spacing w:after="0" w:line="25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are as follows:</w:t>
      </w:r>
    </w:p>
    <w:p>
      <w:pPr>
        <w:spacing w:after="0" w:line="23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Limited Partnership of Dorchester Minerals, L.P. (incorporated by reference to Exhibit 3.1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Minerals’ Registration Statement on Form S-4, Registration Number 333-88282)</w:t>
              </w:r>
            </w:hyperlink>
          </w:p>
        </w:tc>
        <w:tc>
          <w:tcPr>
            <w:tcW w:w="1560" w:type="dxa"/>
            <w:vAlign w:val="bottom"/>
            <w:gridSpan w:val="2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Amended and Restated Agreement of Limited Partnership of Dorchester Minerals, L.P. (incorporated by reference to Exhibit 3.2 to</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Dorchester Minerals’ Report on Form 10-K filed for the year ended December 31, 2002)</w:t>
              </w:r>
            </w:hyperlink>
          </w:p>
        </w:tc>
        <w:tc>
          <w:tcPr>
            <w:tcW w:w="640" w:type="dxa"/>
            <w:vAlign w:val="bottom"/>
            <w:gridSpan w:val="1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260" w:type="dxa"/>
            <w:vAlign w:val="bottom"/>
          </w:tcPr>
          <w:p>
            <w:pPr>
              <w:spacing w:after="0"/>
              <w:rPr>
                <w:sz w:val="17"/>
                <w:szCs w:val="17"/>
                <w:color w:val="auto"/>
              </w:rPr>
            </w:pPr>
          </w:p>
        </w:tc>
        <w:tc>
          <w:tcPr>
            <w:tcW w:w="100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Amendment No. 1 to Amended and Restated Partnership Agreement of Dorchester Minerals, L.P. (incorporated by reference to Exhibit 3.1</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to Dorchester Minerals’ Current Report on Form 8-K filed with the SEC on December 22, 2017)</w:t>
              </w:r>
            </w:hyperlink>
          </w:p>
        </w:tc>
        <w:tc>
          <w:tcPr>
            <w:tcW w:w="3120" w:type="dxa"/>
            <w:vAlign w:val="bottom"/>
            <w:gridSpan w:val="22"/>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260" w:type="dxa"/>
            <w:vAlign w:val="bottom"/>
          </w:tcPr>
          <w:p>
            <w:pPr>
              <w:spacing w:after="0"/>
              <w:rPr>
                <w:sz w:val="17"/>
                <w:szCs w:val="17"/>
                <w:color w:val="auto"/>
              </w:rPr>
            </w:pPr>
          </w:p>
        </w:tc>
        <w:tc>
          <w:tcPr>
            <w:tcW w:w="100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Amendment No. 2 to Amended and Restated Partnership Agreement of Dorchester Minerals, L.P. (incorporated by reference to Exhibit 3.4</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to Dorchester Minerals’ Report on Form 10-Q filed with the SEC on August 6, 2018)</w:t>
              </w:r>
            </w:hyperlink>
          </w:p>
        </w:tc>
        <w:tc>
          <w:tcPr>
            <w:tcW w:w="3940" w:type="dxa"/>
            <w:vAlign w:val="bottom"/>
            <w:gridSpan w:val="27"/>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260" w:type="dxa"/>
            <w:vAlign w:val="bottom"/>
          </w:tcPr>
          <w:p>
            <w:pPr>
              <w:spacing w:after="0"/>
              <w:rPr>
                <w:sz w:val="17"/>
                <w:szCs w:val="17"/>
                <w:color w:val="auto"/>
              </w:rPr>
            </w:pPr>
          </w:p>
        </w:tc>
        <w:tc>
          <w:tcPr>
            <w:tcW w:w="100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Amendment No. 3 to Amended and Restated Partnership Agreement of Dorchester Minerals, L.P. (incorporated by reference to Exhibit 3.1</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to Dorchester Minerals’ Current Report on Form 8-K filed with the SEC on October 6, 2023)</w:t>
              </w:r>
            </w:hyperlink>
          </w:p>
        </w:tc>
        <w:tc>
          <w:tcPr>
            <w:tcW w:w="3360" w:type="dxa"/>
            <w:vAlign w:val="bottom"/>
            <w:gridSpan w:val="23"/>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260" w:type="dxa"/>
            <w:vAlign w:val="bottom"/>
          </w:tcPr>
          <w:p>
            <w:pPr>
              <w:spacing w:after="0"/>
              <w:rPr>
                <w:sz w:val="17"/>
                <w:szCs w:val="17"/>
                <w:color w:val="auto"/>
              </w:rPr>
            </w:pPr>
          </w:p>
        </w:tc>
        <w:tc>
          <w:tcPr>
            <w:tcW w:w="94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Certificate of Limited Partnership of Dorchester Minerals Management LP (incorporated by reference to Exhibit 3.4 to Dorchester</w:t>
              </w:r>
            </w:hyperlink>
          </w:p>
        </w:tc>
        <w:tc>
          <w:tcPr>
            <w:tcW w:w="680" w:type="dxa"/>
            <w:vAlign w:val="bottom"/>
            <w:gridSpan w:val="1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260" w:type="dxa"/>
            <w:vAlign w:val="bottom"/>
          </w:tcPr>
          <w:p>
            <w:pPr>
              <w:spacing w:after="0"/>
              <w:rPr>
                <w:sz w:val="17"/>
                <w:szCs w:val="17"/>
                <w:color w:val="auto"/>
              </w:rPr>
            </w:pPr>
          </w:p>
        </w:tc>
        <w:tc>
          <w:tcPr>
            <w:tcW w:w="100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Agreement of Limited Partnership of Dorchester Minerals Management LP (incorporated by reference to Exhibit</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Dorchester Minerals’ Report on Form 10-K for the year ended December 31, 2002)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w:t>
            </w:r>
          </w:p>
        </w:tc>
        <w:tc>
          <w:tcPr>
            <w:tcW w:w="260" w:type="dxa"/>
            <w:vAlign w:val="bottom"/>
          </w:tcPr>
          <w:p>
            <w:pPr>
              <w:spacing w:after="0"/>
              <w:rPr>
                <w:sz w:val="17"/>
                <w:szCs w:val="17"/>
                <w:color w:val="auto"/>
              </w:rPr>
            </w:pPr>
          </w:p>
        </w:tc>
        <w:tc>
          <w:tcPr>
            <w:tcW w:w="9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Certificate of Formation of Dorchester Minerals Management GP LLC (incorporated by reference to Exhibit 3.7 to Dorchester</w:t>
              </w:r>
            </w:hyperlink>
          </w:p>
        </w:tc>
        <w:tc>
          <w:tcPr>
            <w:tcW w:w="960" w:type="dxa"/>
            <w:vAlign w:val="bottom"/>
            <w:gridSpan w:val="18"/>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3.9</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Second Amended and Restated Limited Liability Company Agreement of Dorchester Minerals Management GP LLC (incorporated by</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reference to Exhibit 3.1 to Dorchester Minerals’ Current Report on Form 8-K filed with the SEC on October 18, 2024)</w:t>
              </w:r>
            </w:hyperlink>
          </w:p>
        </w:tc>
        <w:tc>
          <w:tcPr>
            <w:tcW w:w="380" w:type="dxa"/>
            <w:vAlign w:val="bottom"/>
            <w:gridSpan w:val="10"/>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3.10</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Certificate of Formation of Dorchester Minerals Operating GP LLC (incorporated by reference to Exhibit 3.10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Minerals’ Registration Statement on Form S-4, Registration Number 333-88282)</w:t>
              </w:r>
            </w:hyperlink>
          </w:p>
        </w:tc>
        <w:tc>
          <w:tcPr>
            <w:tcW w:w="1100" w:type="dxa"/>
            <w:vAlign w:val="bottom"/>
            <w:gridSpan w:val="19"/>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260" w:type="dxa"/>
            <w:vAlign w:val="bottom"/>
          </w:tcPr>
          <w:p>
            <w:pPr>
              <w:spacing w:after="0"/>
              <w:rPr>
                <w:sz w:val="17"/>
                <w:szCs w:val="17"/>
                <w:color w:val="auto"/>
              </w:rPr>
            </w:pPr>
          </w:p>
        </w:tc>
        <w:tc>
          <w:tcPr>
            <w:tcW w:w="100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Limited Liability Company Agreement of Dorchester Minerals Operating GP LLC (incorporated by reference to Exhibit 3.11 to Dorchester</w:t>
              </w:r>
            </w:hyperlink>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Limited Partnership of Dorchester Minerals Operating LP (incorporated by reference to Exhibit 3.12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Minerals’ Registration Statement on Form S-4, Registration Number 333-88282)</w:t>
              </w:r>
            </w:hyperlink>
          </w:p>
        </w:tc>
        <w:tc>
          <w:tcPr>
            <w:tcW w:w="820" w:type="dxa"/>
            <w:vAlign w:val="bottom"/>
            <w:gridSpan w:val="16"/>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3.13</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Agreement of Limited Partnership of Dorchester Minerals Operating LP (incorporated by reference to Exhibit 3.10</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to Dorchester Minerals’ Report on Form 10-K for the year ended December 31, 2002)</w:t>
              </w:r>
            </w:hyperlink>
          </w:p>
        </w:tc>
        <w:tc>
          <w:tcPr>
            <w:tcW w:w="3800" w:type="dxa"/>
            <w:vAlign w:val="bottom"/>
            <w:tcBorders>
              <w:top w:val="single" w:sz="8" w:color="0000EE"/>
            </w:tcBorders>
            <w:gridSpan w:val="23"/>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3.14</w:t>
            </w:r>
          </w:p>
        </w:tc>
        <w:tc>
          <w:tcPr>
            <w:tcW w:w="260" w:type="dxa"/>
            <w:vAlign w:val="bottom"/>
          </w:tcPr>
          <w:p>
            <w:pPr>
              <w:spacing w:after="0"/>
              <w:rPr>
                <w:sz w:val="17"/>
                <w:szCs w:val="17"/>
                <w:color w:val="auto"/>
              </w:rPr>
            </w:pPr>
          </w:p>
        </w:tc>
        <w:tc>
          <w:tcPr>
            <w:tcW w:w="93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Certificate of Limited Partnership of Dorchester Minerals Oklahoma LP (incorporated by reference to Exhibit 3.11 to Dorchester</w:t>
              </w:r>
            </w:hyperlink>
          </w:p>
        </w:tc>
        <w:tc>
          <w:tcPr>
            <w:tcW w:w="780" w:type="dxa"/>
            <w:vAlign w:val="bottom"/>
            <w:gridSpan w:val="1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Minerals’ Annual Report on Form 10-K for the year ended December 31, 2002)</w:t>
              </w:r>
            </w:hyperlink>
          </w:p>
        </w:tc>
        <w:tc>
          <w:tcPr>
            <w:tcW w:w="4340" w:type="dxa"/>
            <w:vAlign w:val="bottom"/>
            <w:gridSpan w:val="29"/>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3.15</w:t>
            </w:r>
          </w:p>
        </w:tc>
        <w:tc>
          <w:tcPr>
            <w:tcW w:w="260" w:type="dxa"/>
            <w:vAlign w:val="bottom"/>
          </w:tcPr>
          <w:p>
            <w:pPr>
              <w:spacing w:after="0"/>
              <w:rPr>
                <w:sz w:val="17"/>
                <w:szCs w:val="17"/>
                <w:color w:val="auto"/>
              </w:rPr>
            </w:pPr>
          </w:p>
        </w:tc>
        <w:tc>
          <w:tcPr>
            <w:tcW w:w="93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Agreement of Limited Partnership of Dorchester Minerals Oklahoma LP (incorporated by reference to Exhibit 3.12 to Dorchester</w:t>
              </w:r>
            </w:hyperlink>
          </w:p>
        </w:tc>
        <w:tc>
          <w:tcPr>
            <w:tcW w:w="740" w:type="dxa"/>
            <w:vAlign w:val="bottom"/>
            <w:gridSpan w:val="1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Minerals’ Annual Report on Form 10-K for the year ended December 31, 2002)</w:t>
              </w:r>
            </w:hyperlink>
          </w:p>
        </w:tc>
        <w:tc>
          <w:tcPr>
            <w:tcW w:w="4340" w:type="dxa"/>
            <w:vAlign w:val="bottom"/>
            <w:gridSpan w:val="29"/>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3.16</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Incorporation of Dorchester Minerals Oklahoma GP, Inc. (incorporated by reference to Exhibit 3.13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Minerals’ Annual Report on Form 10-K for the year ended December 31, 2002)</w:t>
              </w:r>
            </w:hyperlink>
          </w:p>
        </w:tc>
        <w:tc>
          <w:tcPr>
            <w:tcW w:w="3460" w:type="dxa"/>
            <w:vAlign w:val="bottom"/>
            <w:tcBorders>
              <w:top w:val="single" w:sz="8" w:color="0000EE"/>
            </w:tcBorders>
            <w:gridSpan w:val="12"/>
          </w:tcPr>
          <w:p>
            <w:pPr>
              <w:spacing w:after="0"/>
              <w:rPr>
                <w:sz w:val="17"/>
                <w:szCs w:val="17"/>
                <w:color w:val="auto"/>
              </w:rPr>
            </w:pPr>
          </w:p>
        </w:tc>
        <w:tc>
          <w:tcPr>
            <w:tcW w:w="880" w:type="dxa"/>
            <w:vAlign w:val="bottom"/>
            <w:gridSpan w:val="17"/>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3.17</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Bylaws of Dorchester Minerals Oklahoma GP, Inc. (incorporated by reference to Exhibit 3.14 to Dorchester Minerals’ Annual Report on</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10-K for the year ended December 31, 2002)</w:t>
              </w:r>
            </w:hyperlink>
          </w:p>
        </w:tc>
        <w:tc>
          <w:tcPr>
            <w:tcW w:w="260" w:type="dxa"/>
            <w:vAlign w:val="bottom"/>
            <w:gridSpan w:val="7"/>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0" w:type="dxa"/>
            <w:vAlign w:val="bottom"/>
            <w:gridSpan w:val="1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60" w:type="dxa"/>
            <w:vAlign w:val="bottom"/>
          </w:tcPr>
          <w:p>
            <w:pPr>
              <w:spacing w:after="0"/>
              <w:rPr>
                <w:sz w:val="17"/>
                <w:szCs w:val="17"/>
                <w:color w:val="auto"/>
              </w:rPr>
            </w:pPr>
          </w:p>
        </w:tc>
        <w:tc>
          <w:tcPr>
            <w:tcW w:w="99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Description of the Registrant’s Securities (incorporated by reference to Exhibit 4.1 to Dorchester Minerals’ Annual Report on Form 10-K</w:t>
              </w:r>
            </w:hyperlink>
          </w:p>
        </w:tc>
        <w:tc>
          <w:tcPr>
            <w:tcW w:w="180" w:type="dxa"/>
            <w:vAlign w:val="bottom"/>
            <w:gridSpan w:val="6"/>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 the year ended December 31, 2024)</w:t>
              </w:r>
            </w:hyperlink>
          </w:p>
        </w:tc>
        <w:tc>
          <w:tcPr>
            <w:tcW w:w="7240" w:type="dxa"/>
            <w:vAlign w:val="bottom"/>
            <w:gridSpan w:val="31"/>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7"/>
                <w:szCs w:val="17"/>
                <w:color w:val="auto"/>
              </w:rPr>
            </w:pPr>
          </w:p>
        </w:tc>
        <w:tc>
          <w:tcPr>
            <w:tcW w:w="96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Amended and Restated Business Opportunities Agreement dated as of December 13, 2001 by and between the Registrant, the General</w:t>
              </w:r>
            </w:hyperlink>
          </w:p>
        </w:tc>
        <w:tc>
          <w:tcPr>
            <w:tcW w:w="400" w:type="dxa"/>
            <w:vAlign w:val="bottom"/>
            <w:gridSpan w:val="11"/>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Partner, Dorchester Minerals Management GP LLC, SAM Partners, Ltd., Vaughn Petroleum, Ltd., Smith Allen Oil &amp; Gas, Inc., P.A. Peak,</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8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 James E. Raley, Inc., and certain other parties (incorporated by reference to Exhibit 10.1 to Dorchester Minerals’ Annual Report on</w:t>
              </w:r>
            </w:hyperlink>
          </w:p>
        </w:tc>
        <w:tc>
          <w:tcPr>
            <w:tcW w:w="100" w:type="dxa"/>
            <w:vAlign w:val="bottom"/>
            <w:gridSpan w:val="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10-K for the year ended December 31, 2002)</w:t>
              </w:r>
            </w:hyperlink>
          </w:p>
        </w:tc>
        <w:tc>
          <w:tcPr>
            <w:tcW w:w="280" w:type="dxa"/>
            <w:vAlign w:val="bottom"/>
            <w:gridSpan w:val="8"/>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80" w:type="dxa"/>
            <w:vAlign w:val="bottom"/>
            <w:gridSpan w:val="2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Transfer Restriction Agreement (incorporated by reference to Exhibit 10.2 to Dorchester Minerals’ Annual Report on Form 10-K for the</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year ended December 31, 2002)</w:t>
              </w:r>
            </w:hyperlink>
          </w:p>
        </w:tc>
        <w:tc>
          <w:tcPr>
            <w:tcW w:w="7480" w:type="dxa"/>
            <w:vAlign w:val="bottom"/>
            <w:tcBorders>
              <w:top w:val="single" w:sz="8" w:color="0000EE"/>
            </w:tcBorders>
            <w:gridSpan w:val="24"/>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Registration Rights Agreement (incorporated by reference to Exhibit 10.3 to Dorchester Minerals’ Annual Report on Form 10-K for the</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year ended December 31, 2002)</w:t>
              </w:r>
            </w:hyperlink>
          </w:p>
        </w:tc>
        <w:tc>
          <w:tcPr>
            <w:tcW w:w="7440" w:type="dxa"/>
            <w:vAlign w:val="bottom"/>
            <w:tcBorders>
              <w:top w:val="single" w:sz="8" w:color="0000EE"/>
            </w:tcBorders>
            <w:gridSpan w:val="23"/>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Lock-Up Agreement by William Casey McManemin (incorporated by reference to Exhibit 10.4 to Dorchester Minerals’ Annual Report on</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10-K for the year ended December 31, 2002)</w:t>
              </w:r>
            </w:hyperlink>
          </w:p>
        </w:tc>
        <w:tc>
          <w:tcPr>
            <w:tcW w:w="120" w:type="dxa"/>
            <w:vAlign w:val="bottom"/>
            <w:gridSpan w:val="5"/>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220" w:type="dxa"/>
            <w:vAlign w:val="bottom"/>
            <w:gridSpan w:val="2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Indemnity Agreement (incorporated by reference to Exhibit 10.1 to Dorchester Minerals’ Quarterly Report on Form 10-Q for the</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quarter ended June 30, 2004)</w:t>
              </w:r>
            </w:hyperlink>
          </w:p>
        </w:tc>
        <w:tc>
          <w:tcPr>
            <w:tcW w:w="180" w:type="dxa"/>
            <w:vAlign w:val="bottom"/>
            <w:gridSpan w:val="6"/>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32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Dorchester Minerals Operating LP Equity Incentive Program (incorporated by reference to Annex A to Dorchester Minerals’ Proxy</w:t>
              </w:r>
            </w:hyperlink>
          </w:p>
        </w:tc>
        <w:tc>
          <w:tcPr>
            <w:tcW w:w="500" w:type="dxa"/>
            <w:vAlign w:val="bottom"/>
            <w:gridSpan w:val="9"/>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Statement on Schedule 14A filed with the SEC on March 16, 2015)</w:t>
              </w:r>
            </w:hyperlink>
          </w:p>
        </w:tc>
        <w:tc>
          <w:tcPr>
            <w:tcW w:w="5100" w:type="dxa"/>
            <w:vAlign w:val="bottom"/>
            <w:gridSpan w:val="16"/>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Contribution and Exchange Agreement dated September 16, 2022, by and among Dorchester Mineral, L.P., and Excess Energy, LLC</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(incorporated by reference to Exhibit 2.1 to Dorchester Minerals' Current Report on Form 8-K filed with the SEC on September 21, 2022)</w:t>
              </w:r>
            </w:hyperlink>
          </w:p>
        </w:tc>
        <w:tc>
          <w:tcPr>
            <w:tcW w:w="20" w:type="dxa"/>
            <w:vAlign w:val="bottom"/>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Amendment No. 1 to the Dorchester Minerals Management LP Equity Incentive Program (incorporated by reference to Exhibit 10.2 to</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Dorchester Minerals’ Current Report on Form 8-K filed with the SEC on October 6, 2023)</w:t>
              </w:r>
            </w:hyperlink>
          </w:p>
        </w:tc>
        <w:tc>
          <w:tcPr>
            <w:tcW w:w="260" w:type="dxa"/>
            <w:vAlign w:val="bottom"/>
            <w:gridSpan w:val="5"/>
          </w:tcPr>
          <w:p>
            <w:pPr>
              <w:spacing w:after="0"/>
              <w:rPr>
                <w:sz w:val="17"/>
                <w:szCs w:val="17"/>
                <w:color w:val="auto"/>
              </w:rPr>
            </w:pPr>
          </w:p>
        </w:tc>
      </w:tr>
      <w:tr>
        <w:trPr>
          <w:trHeight w:val="20"/>
        </w:trPr>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320" w:type="dxa"/>
            <w:vAlign w:val="bottom"/>
          </w:tcPr>
          <w:p>
            <w:pPr>
              <w:spacing w:after="0"/>
              <w:rPr>
                <w:sz w:val="17"/>
                <w:szCs w:val="17"/>
                <w:color w:val="auto"/>
              </w:rPr>
            </w:pPr>
          </w:p>
        </w:tc>
        <w:tc>
          <w:tcPr>
            <w:tcW w:w="99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Common Unit Award Agreement (incorporated by reference to Exhibit 10.9 to Dorchester Minerals’ Annual Report on Form 10-</w:t>
              </w:r>
            </w:hyperlink>
          </w:p>
        </w:tc>
        <w:tc>
          <w:tcPr>
            <w:tcW w:w="4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K for the year ended December 31, 2023)</w:t>
              </w:r>
            </w:hyperlink>
          </w:p>
        </w:tc>
        <w:tc>
          <w:tcPr>
            <w:tcW w:w="6960" w:type="dxa"/>
            <w:vAlign w:val="bottom"/>
            <w:gridSpan w:val="21"/>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6"/>
              </w:rPr>
              <w:t>10.10#</w:t>
            </w:r>
          </w:p>
        </w:tc>
        <w:tc>
          <w:tcPr>
            <w:tcW w:w="320" w:type="dxa"/>
            <w:vAlign w:val="bottom"/>
          </w:tcPr>
          <w:p>
            <w:pPr>
              <w:spacing w:after="0"/>
              <w:rPr>
                <w:sz w:val="17"/>
                <w:szCs w:val="17"/>
                <w:color w:val="auto"/>
              </w:rPr>
            </w:pPr>
          </w:p>
        </w:tc>
        <w:tc>
          <w:tcPr>
            <w:tcW w:w="9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Form of Notional Unit Award Agreement (incorporated by reference to Exhibit 10.10 to Dorchester Minerals’ Annual Report on Form</w:t>
              </w:r>
            </w:hyperlink>
          </w:p>
        </w:tc>
        <w:tc>
          <w:tcPr>
            <w:tcW w:w="28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10-K for the year ended December 31, 2023)</w:t>
              </w:r>
            </w:hyperlink>
          </w:p>
        </w:tc>
        <w:tc>
          <w:tcPr>
            <w:tcW w:w="6720" w:type="dxa"/>
            <w:vAlign w:val="bottom"/>
            <w:gridSpan w:val="19"/>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Contribution and Exchange Agreement dated September 12, 2024, by and among Dorchester Minerals, L.P., West Texas Minerals LLC,</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60" w:type="dxa"/>
            <w:vAlign w:val="bottom"/>
            <w:gridSpan w:val="2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Carrollton Mineral Partners, LP, Carrollton Mineral Partners Fund II, LP, Carrollton Mineral Partners III, LP, Carrollton Mineral Partners</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III-B, LP, Carrollton Mineral Partners IV, LP, CMP Permian, LP, CMP Glasscock, LP, and Carrollton Royalty, LP. (incorporated by</w:t>
              </w:r>
            </w:hyperlink>
          </w:p>
        </w:tc>
        <w:tc>
          <w:tcPr>
            <w:tcW w:w="42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60" w:type="dxa"/>
            <w:vAlign w:val="bottom"/>
            <w:gridSpan w:val="2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reference to Exhibit 2.1 to Dorchester Minerals’ Current Report on Form 8-K filed with the SEC on September 16, 2024)</w:t>
              </w:r>
            </w:hyperlink>
          </w:p>
        </w:tc>
      </w:tr>
      <w:tr>
        <w:trPr>
          <w:trHeight w:val="20"/>
        </w:trPr>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6"/>
              </w:rPr>
              <w:t>10.12#</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Letter Agreement dated September 30, 2024 by and among Carrollton Mineral Partners, LP and the members of Dorchester Minerals</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Management GP, LLC (incorporated by reference to Exhibit 10.1 to Dorchester Minerals’ Current Report on Form 8-K filed with the SEC</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on October 18, 2024)</w:t>
              </w:r>
            </w:hyperlink>
          </w:p>
        </w:tc>
        <w:tc>
          <w:tcPr>
            <w:tcW w:w="8420" w:type="dxa"/>
            <w:vAlign w:val="bottom"/>
            <w:gridSpan w:val="25"/>
          </w:tcPr>
          <w:p>
            <w:pPr>
              <w:spacing w:after="0"/>
              <w:rPr>
                <w:sz w:val="17"/>
                <w:szCs w:val="17"/>
                <w:color w:val="auto"/>
              </w:rPr>
            </w:pPr>
          </w:p>
        </w:tc>
      </w:tr>
      <w:tr>
        <w:trPr>
          <w:trHeight w:val="196"/>
        </w:trPr>
        <w:tc>
          <w:tcPr>
            <w:tcW w:w="96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99"/>
              </w:rPr>
              <w:t>19.1*##</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r>
      <w:tr>
        <w:trPr>
          <w:trHeight w:val="20"/>
        </w:trPr>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21.1*</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0"/>
        </w:trPr>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32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Grant Thornton LLP</w:t>
            </w:r>
          </w:p>
        </w:tc>
        <w:tc>
          <w:tcPr>
            <w:tcW w:w="7640" w:type="dxa"/>
            <w:vAlign w:val="bottom"/>
            <w:gridSpan w:val="22"/>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23.2*</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Consent of LaRoche Petroleum Consultants, Ltd.</w:t>
            </w:r>
          </w:p>
        </w:tc>
      </w:tr>
      <w:tr>
        <w:trPr>
          <w:trHeight w:val="20"/>
        </w:trPr>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320" w:type="dxa"/>
            <w:vAlign w:val="bottom"/>
          </w:tcPr>
          <w:p>
            <w:pPr>
              <w:spacing w:after="0"/>
              <w:rPr>
                <w:sz w:val="17"/>
                <w:szCs w:val="17"/>
                <w:color w:val="auto"/>
              </w:rPr>
            </w:pPr>
          </w:p>
        </w:tc>
        <w:tc>
          <w:tcPr>
            <w:tcW w:w="99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of our Partnership pursuant to Rule 13a-14(a) of the Securities Exchange Act of 1934</w:t>
            </w: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32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of our Partnership pursuant to Rule 13a-14(a) of the Securities Exchange Act of 1934</w:t>
            </w:r>
          </w:p>
        </w:tc>
        <w:tc>
          <w:tcPr>
            <w:tcW w:w="40" w:type="dxa"/>
            <w:vAlign w:val="bottom"/>
            <w:tcBorders>
              <w:top w:val="single" w:sz="8" w:color="0000EE"/>
            </w:tcBorders>
          </w:tcPr>
          <w:p>
            <w:pPr>
              <w:spacing w:after="0"/>
              <w:rPr>
                <w:sz w:val="17"/>
                <w:szCs w:val="17"/>
                <w:color w:val="auto"/>
              </w:rPr>
            </w:pPr>
          </w:p>
        </w:tc>
        <w:tc>
          <w:tcPr>
            <w:tcW w:w="900" w:type="dxa"/>
            <w:vAlign w:val="bottom"/>
            <w:gridSpan w:val="11"/>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6"/>
              </w:rPr>
              <w:t>32.1**</w:t>
            </w:r>
          </w:p>
        </w:tc>
        <w:tc>
          <w:tcPr>
            <w:tcW w:w="320" w:type="dxa"/>
            <w:vAlign w:val="bottom"/>
          </w:tcPr>
          <w:p>
            <w:pPr>
              <w:spacing w:after="0"/>
              <w:rPr>
                <w:sz w:val="17"/>
                <w:szCs w:val="17"/>
                <w:color w:val="auto"/>
              </w:rPr>
            </w:pPr>
          </w:p>
        </w:tc>
        <w:tc>
          <w:tcPr>
            <w:tcW w:w="72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 1350</w:t>
            </w:r>
          </w:p>
        </w:tc>
        <w:tc>
          <w:tcPr>
            <w:tcW w:w="2700" w:type="dxa"/>
            <w:vAlign w:val="bottom"/>
            <w:gridSpan w:val="14"/>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97.1*</w:t>
            </w:r>
          </w:p>
        </w:tc>
        <w:tc>
          <w:tcPr>
            <w:tcW w:w="32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Dorchester Minerals, L.P. Clawback Policy</w:t>
            </w:r>
          </w:p>
        </w:tc>
        <w:tc>
          <w:tcPr>
            <w:tcW w:w="6840" w:type="dxa"/>
            <w:vAlign w:val="bottom"/>
            <w:gridSpan w:val="20"/>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99.1*</w:t>
            </w:r>
          </w:p>
        </w:tc>
        <w:tc>
          <w:tcPr>
            <w:tcW w:w="320" w:type="dxa"/>
            <w:vAlign w:val="bottom"/>
          </w:tcPr>
          <w:p>
            <w:pPr>
              <w:spacing w:after="0"/>
              <w:rPr>
                <w:sz w:val="17"/>
                <w:szCs w:val="17"/>
                <w:color w:val="auto"/>
              </w:rPr>
            </w:pPr>
          </w:p>
        </w:tc>
        <w:tc>
          <w:tcPr>
            <w:tcW w:w="3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LaRoche Petroleum Consultants, Ltd.</w:t>
            </w:r>
          </w:p>
        </w:tc>
        <w:tc>
          <w:tcPr>
            <w:tcW w:w="6520" w:type="dxa"/>
            <w:vAlign w:val="bottom"/>
            <w:gridSpan w:val="18"/>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99.2*</w:t>
            </w:r>
          </w:p>
        </w:tc>
        <w:tc>
          <w:tcPr>
            <w:tcW w:w="320" w:type="dxa"/>
            <w:vAlign w:val="bottom"/>
          </w:tcPr>
          <w:p>
            <w:pPr>
              <w:spacing w:after="0"/>
              <w:rPr>
                <w:sz w:val="17"/>
                <w:szCs w:val="17"/>
                <w:color w:val="auto"/>
              </w:rPr>
            </w:pPr>
          </w:p>
        </w:tc>
        <w:tc>
          <w:tcPr>
            <w:tcW w:w="3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LaRoche Petroleum Consultants, Ltd.</w:t>
            </w:r>
          </w:p>
        </w:tc>
        <w:tc>
          <w:tcPr>
            <w:tcW w:w="6520" w:type="dxa"/>
            <w:vAlign w:val="bottom"/>
            <w:gridSpan w:val="18"/>
          </w:tcPr>
          <w:p>
            <w:pPr>
              <w:spacing w:after="0"/>
              <w:rPr>
                <w:sz w:val="17"/>
                <w:szCs w:val="17"/>
                <w:color w:val="auto"/>
              </w:rPr>
            </w:pPr>
          </w:p>
        </w:tc>
      </w:tr>
      <w:tr>
        <w:trPr>
          <w:trHeight w:val="21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340" w:right="160" w:hanging="332"/>
        <w:spacing w:after="0" w:line="26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and/or appendices have been omitted in accordance with Item 601(a)(5) of Regulation S-K. A copy of any omitted schedule and/or appendix will be furnished to the Securities and Exchange Commission upon request.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CERTAIN OIL AND NATURAL GAS TERMS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definitions set forth below shall apply to the indicated terms as used in this document. All volumes of natural gas referred to herein are stated at the legal pressure base of the state or area where the reserves exist and at 60 degrees Fahrenheit and in most instances are rounded to the nearest major multiple.</w:t>
      </w:r>
    </w:p>
    <w:p>
      <w:pPr>
        <w:spacing w:after="0" w:line="174"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"bbl" </w:t>
      </w:r>
      <w:r>
        <w:rPr>
          <w:rFonts w:ascii="Times New Roman" w:cs="Times New Roman" w:eastAsia="Times New Roman" w:hAnsi="Times New Roman"/>
          <w:sz w:val="18"/>
          <w:szCs w:val="18"/>
          <w:color w:val="auto"/>
        </w:rPr>
        <w:t>means a standard barrel of 42 U.S. gallons and represents the basic unit for measuring the production of crude oil, natural gas liquids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“boe</w:t>
      </w:r>
      <w:r>
        <w:rPr>
          <w:rFonts w:ascii="Times New Roman" w:cs="Times New Roman" w:eastAsia="Times New Roman" w:hAnsi="Times New Roman"/>
          <w:sz w:val="18"/>
          <w:szCs w:val="18"/>
          <w:color w:val="auto"/>
        </w:rPr>
        <w:t>” means one barrel of oil equivalent, converting natural gas to oil at the ratio of 6 Mcf of natural gas to 1 Bbl of oil. Also see mcfe below.</w:t>
      </w:r>
    </w:p>
    <w:p>
      <w:pPr>
        <w:spacing w:after="0" w:line="225"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"Depletion" </w:t>
      </w:r>
      <w:r>
        <w:rPr>
          <w:rFonts w:ascii="Times New Roman" w:cs="Times New Roman" w:eastAsia="Times New Roman" w:hAnsi="Times New Roman"/>
          <w:sz w:val="18"/>
          <w:szCs w:val="18"/>
          <w:color w:val="auto"/>
        </w:rPr>
        <w:t>means (a) the volume of hydrocarbons extracted from a formation over a given period of time, (b) the rate of hydrocarbon extraction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given period of time expressed as a percentage of the reserves existing at the beginning of such period, or (c) the amount of cost basis at the beginning of a period attributable to the volume of hydrocarbons extracted during such period.</w:t>
      </w:r>
    </w:p>
    <w:p>
      <w:pPr>
        <w:spacing w:after="0" w:line="17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"Division order" </w:t>
      </w:r>
      <w:r>
        <w:rPr>
          <w:rFonts w:ascii="Times New Roman" w:cs="Times New Roman" w:eastAsia="Times New Roman" w:hAnsi="Times New Roman"/>
          <w:sz w:val="18"/>
          <w:szCs w:val="18"/>
          <w:color w:val="auto"/>
        </w:rPr>
        <w:t>means a document to protect lessees and purchasers of production, in which all parties who may have a claim to the proceeds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production agree upon how the proceeds are to be divided.</w:t>
      </w:r>
    </w:p>
    <w:p>
      <w:pPr>
        <w:spacing w:after="0" w:line="158"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"Enhanced recovery" </w:t>
      </w:r>
      <w:r>
        <w:rPr>
          <w:rFonts w:ascii="Times New Roman" w:cs="Times New Roman" w:eastAsia="Times New Roman" w:hAnsi="Times New Roman"/>
          <w:sz w:val="18"/>
          <w:szCs w:val="18"/>
          <w:color w:val="auto"/>
        </w:rPr>
        <w:t>means the process or combination of processes applied to a formation to extract hydrocarbons in addition to those that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utilizing the natural energy existing in that formation. Examples of enhanced recovery include water flooding and carbon dioxide (CO2) injection.</w:t>
      </w:r>
    </w:p>
    <w:p>
      <w:pPr>
        <w:spacing w:after="0" w:line="173" w:lineRule="exact"/>
        <w:rPr>
          <w:sz w:val="20"/>
          <w:szCs w:val="20"/>
          <w:color w:val="auto"/>
        </w:rPr>
      </w:pPr>
    </w:p>
    <w:p>
      <w:pPr>
        <w:ind w:right="5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"Formation" </w:t>
      </w:r>
      <w:r>
        <w:rPr>
          <w:rFonts w:ascii="Times New Roman" w:cs="Times New Roman" w:eastAsia="Times New Roman" w:hAnsi="Times New Roman"/>
          <w:sz w:val="18"/>
          <w:szCs w:val="18"/>
          <w:color w:val="auto"/>
        </w:rPr>
        <w:t>means a distinct geologic interval, sometimes referred to as the strata, which has characteristics (such as permeability, porosity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hydrocarbon saturations) that distinguish it from surrounding intervals.</w:t>
      </w:r>
    </w:p>
    <w:p>
      <w:pPr>
        <w:spacing w:after="0" w:line="158" w:lineRule="exact"/>
        <w:rPr>
          <w:sz w:val="20"/>
          <w:szCs w:val="20"/>
          <w:color w:val="auto"/>
        </w:rPr>
      </w:pPr>
    </w:p>
    <w:p>
      <w:pPr>
        <w:jc w:val="both"/>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"Future estimated net revenues" </w:t>
      </w:r>
      <w:r>
        <w:rPr>
          <w:rFonts w:ascii="Times New Roman" w:cs="Times New Roman" w:eastAsia="Times New Roman" w:hAnsi="Times New Roman"/>
          <w:sz w:val="18"/>
          <w:szCs w:val="18"/>
          <w:color w:val="auto"/>
        </w:rPr>
        <w:t>(also referred to as "future estimated net cash flow") means the result of applying current prices of oil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estimated future production from oil and natural gas proved reserves, reduced by estimated future expenditures, based on current costs to be incurred in developing and producing the proved reserves, excluding overhead.</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"Gross acre" </w:t>
      </w:r>
      <w:r>
        <w:rPr>
          <w:rFonts w:ascii="Times New Roman" w:cs="Times New Roman" w:eastAsia="Times New Roman" w:hAnsi="Times New Roman"/>
          <w:sz w:val="18"/>
          <w:szCs w:val="18"/>
          <w:color w:val="auto"/>
        </w:rPr>
        <w:t>means the number of surface acres in which a working interest is owned.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"Gross well" </w:t>
      </w:r>
      <w:r>
        <w:rPr>
          <w:rFonts w:ascii="Times New Roman" w:cs="Times New Roman" w:eastAsia="Times New Roman" w:hAnsi="Times New Roman"/>
          <w:sz w:val="18"/>
          <w:szCs w:val="18"/>
          <w:color w:val="auto"/>
        </w:rPr>
        <w:t>means a well in which a working interest is owned.</w:t>
      </w:r>
    </w:p>
    <w:p>
      <w:pPr>
        <w:spacing w:after="0" w:line="225"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bonus" </w:t>
      </w:r>
      <w:r>
        <w:rPr>
          <w:rFonts w:ascii="Times New Roman" w:cs="Times New Roman" w:eastAsia="Times New Roman" w:hAnsi="Times New Roman"/>
          <w:sz w:val="18"/>
          <w:szCs w:val="18"/>
          <w:color w:val="auto"/>
        </w:rPr>
        <w:t>means the initial cash payment made to a lessor by a lessee in consideration for the execution and conveyance of the lease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assignments of leasehold interests where the Partnership retains an interest.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"Leasehold" </w:t>
      </w:r>
      <w:r>
        <w:rPr>
          <w:rFonts w:ascii="Times New Roman" w:cs="Times New Roman" w:eastAsia="Times New Roman" w:hAnsi="Times New Roman"/>
          <w:sz w:val="18"/>
          <w:szCs w:val="18"/>
          <w:color w:val="auto"/>
        </w:rPr>
        <w:t>means a property in which a working interest is owned.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"Lessee" </w:t>
      </w:r>
      <w:r>
        <w:rPr>
          <w:rFonts w:ascii="Times New Roman" w:cs="Times New Roman" w:eastAsia="Times New Roman" w:hAnsi="Times New Roman"/>
          <w:sz w:val="18"/>
          <w:szCs w:val="18"/>
          <w:color w:val="auto"/>
        </w:rPr>
        <w:t>means the owner of a lease of a mineral interest in a tract of land.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"Lessor" </w:t>
      </w:r>
      <w:r>
        <w:rPr>
          <w:rFonts w:ascii="Times New Roman" w:cs="Times New Roman" w:eastAsia="Times New Roman" w:hAnsi="Times New Roman"/>
          <w:sz w:val="18"/>
          <w:szCs w:val="18"/>
          <w:color w:val="auto"/>
        </w:rPr>
        <w:t>means the owner of the mineral interest who grants a lease of his interest in a tract of land to a third party, referred to as the lessee.</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"Mineral interest" </w:t>
      </w:r>
      <w:r>
        <w:rPr>
          <w:rFonts w:ascii="Times New Roman" w:cs="Times New Roman" w:eastAsia="Times New Roman" w:hAnsi="Times New Roman"/>
          <w:sz w:val="18"/>
          <w:szCs w:val="18"/>
          <w:color w:val="auto"/>
        </w:rPr>
        <w:t>means the interest in the minerals beneath the surface of a tract of land. A mineral interest may be severed from the ownership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surface of the tract. Ownership of a mineral interest generally involves four incidents of ownership: (1) the right to use the surface; (2) the right to incur costs and retain profits, also called the right to develop; (3) the right to transfer all or a portion of the mineral interest; and (4) the right to retain lease benefits, including bonuses and delay rentals.</w:t>
      </w:r>
    </w:p>
    <w:p>
      <w:pPr>
        <w:spacing w:after="0" w:line="180" w:lineRule="exact"/>
        <w:rPr>
          <w:sz w:val="20"/>
          <w:szCs w:val="20"/>
          <w:color w:val="auto"/>
        </w:rPr>
      </w:pPr>
    </w:p>
    <w:p>
      <w:pPr>
        <w:ind w:right="7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"mcf</w:t>
      </w:r>
      <w:r>
        <w:rPr>
          <w:rFonts w:ascii="Times New Roman" w:cs="Times New Roman" w:eastAsia="Times New Roman" w:hAnsi="Times New Roman"/>
          <w:sz w:val="18"/>
          <w:szCs w:val="18"/>
          <w:color w:val="auto"/>
        </w:rPr>
        <w:t>” means one thousand cubic feet of natural gas under prescribed conditions of pressure and temperature and represents the basic unit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measuring the production of natural gas.</w:t>
      </w:r>
    </w:p>
    <w:p>
      <w:pPr>
        <w:spacing w:after="0" w:line="15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“mcfe</w:t>
      </w:r>
      <w:r>
        <w:rPr>
          <w:rFonts w:ascii="Times New Roman" w:cs="Times New Roman" w:eastAsia="Times New Roman" w:hAnsi="Times New Roman"/>
          <w:sz w:val="18"/>
          <w:szCs w:val="18"/>
          <w:color w:val="auto"/>
        </w:rPr>
        <w:t>” means one thousand cubic feet of natural gas equivalent, converting oil or condensate to natural gas at the ratio of 1 Bbl of oil or condensate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Mcf of natural gas. This conversion ratio, which is typically used in the oil and gas industry, represents the approximate energy equivalent of a barrel of oil or condensate to an Mcf of natural gas. The sales price of one barrel of oil or condensate has been much higher than the sales price of six Mcf of natural gas over the last several years, so a six to one conversion ratio does not represent the economic equivalency of six Mcf of natural gas to one barrel of oil or condensate.</w:t>
      </w:r>
    </w:p>
    <w:p>
      <w:pPr>
        <w:spacing w:after="0" w:line="183"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"mbbls" </w:t>
      </w:r>
      <w:r>
        <w:rPr>
          <w:rFonts w:ascii="Times New Roman" w:cs="Times New Roman" w:eastAsia="Times New Roman" w:hAnsi="Times New Roman"/>
          <w:sz w:val="18"/>
          <w:szCs w:val="18"/>
          <w:color w:val="auto"/>
        </w:rPr>
        <w:t>means one thousand standard barrels of 42 U.S. gallons and represents the basic unit for measuring the production of crude oil,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liquids and condensate.</w:t>
      </w:r>
    </w:p>
    <w:p>
      <w:pPr>
        <w:spacing w:after="0" w:line="158" w:lineRule="exact"/>
        <w:rPr>
          <w:sz w:val="20"/>
          <w:szCs w:val="20"/>
          <w:color w:val="auto"/>
        </w:rPr>
      </w:pPr>
    </w:p>
    <w:p>
      <w:pPr>
        <w:ind w:right="7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"mmcf</w:t>
      </w:r>
      <w:r>
        <w:rPr>
          <w:rFonts w:ascii="Times New Roman" w:cs="Times New Roman" w:eastAsia="Times New Roman" w:hAnsi="Times New Roman"/>
          <w:sz w:val="18"/>
          <w:szCs w:val="18"/>
          <w:color w:val="auto"/>
        </w:rPr>
        <w:t>” means one million cubic feet of natural gas under prescribed conditions of pressure and temperature and represents the basic unit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measuring the production of natural gas.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acre" </w:t>
      </w:r>
      <w:r>
        <w:rPr>
          <w:rFonts w:ascii="Times New Roman" w:cs="Times New Roman" w:eastAsia="Times New Roman" w:hAnsi="Times New Roman"/>
          <w:sz w:val="18"/>
          <w:szCs w:val="18"/>
          <w:color w:val="auto"/>
        </w:rPr>
        <w:t>means the product determined by multiplying gross acres by the interest in such acres.</w:t>
      </w:r>
    </w:p>
    <w:p>
      <w:pPr>
        <w:spacing w:after="0" w:line="22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royalty acre" </w:t>
      </w:r>
      <w:r>
        <w:rPr>
          <w:rFonts w:ascii="Times New Roman" w:cs="Times New Roman" w:eastAsia="Times New Roman" w:hAnsi="Times New Roman"/>
          <w:sz w:val="18"/>
          <w:szCs w:val="18"/>
          <w:color w:val="auto"/>
        </w:rPr>
        <w:t>means the product determined by multiplying net acres by the royalty rate in the lease multiplied by eight to normalize the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 one-eighth royalty.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well" </w:t>
      </w:r>
      <w:r>
        <w:rPr>
          <w:rFonts w:ascii="Times New Roman" w:cs="Times New Roman" w:eastAsia="Times New Roman" w:hAnsi="Times New Roman"/>
          <w:sz w:val="18"/>
          <w:szCs w:val="18"/>
          <w:color w:val="auto"/>
        </w:rPr>
        <w:t>means the product determined by multiplying gross oil and natural gas wells by the interest in such wells.</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profits interest" </w:t>
      </w:r>
      <w:r>
        <w:rPr>
          <w:rFonts w:ascii="Times New Roman" w:cs="Times New Roman" w:eastAsia="Times New Roman" w:hAnsi="Times New Roman"/>
          <w:sz w:val="18"/>
          <w:szCs w:val="18"/>
          <w:color w:val="auto"/>
        </w:rPr>
        <w:t>means a non-operating interest that creates a share in gross production from another (operating or non-operating) interest in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natural gas properties. The share is determined by net profits from the sale of production and customarily provides for the deduction of capital and operating costs from the proceeds of the sale of production. The owner of a net profits interest is customarily liable for the payment of capital and operating costs only to the extent that revenue is sufficient to pay such costs but not otherwise.</w:t>
      </w:r>
    </w:p>
    <w:p>
      <w:pPr>
        <w:sectPr>
          <w:pgSz w:w="11900" w:h="16838" w:orient="portrait"/>
          <w:cols w:equalWidth="0" w:num="1">
            <w:col w:w="11240"/>
          </w:cols>
          <w:pgMar w:left="320" w:top="121" w:right="339"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"Operator" </w:t>
      </w:r>
      <w:r>
        <w:rPr>
          <w:rFonts w:ascii="Times New Roman" w:cs="Times New Roman" w:eastAsia="Times New Roman" w:hAnsi="Times New Roman"/>
          <w:sz w:val="18"/>
          <w:szCs w:val="18"/>
          <w:color w:val="auto"/>
        </w:rPr>
        <w:t>means the individual or company responsible for the exploration, development, and production of an oil or natural gas well or lease.</w:t>
      </w:r>
    </w:p>
    <w:p>
      <w:pPr>
        <w:spacing w:after="0" w:line="225"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"Overriding royalty interest" </w:t>
      </w:r>
      <w:r>
        <w:rPr>
          <w:rFonts w:ascii="Times New Roman" w:cs="Times New Roman" w:eastAsia="Times New Roman" w:hAnsi="Times New Roman"/>
          <w:sz w:val="18"/>
          <w:szCs w:val="18"/>
          <w:color w:val="auto"/>
        </w:rPr>
        <w:t>means a royalty interest created or reserved from another (operating or non-operating) interest in oil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Its term extends for the same term as the interest from which it is created.</w:t>
      </w:r>
    </w:p>
    <w:p>
      <w:pPr>
        <w:spacing w:after="0" w:line="15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“Payout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Back-in</w:t>
      </w:r>
      <w:r>
        <w:rPr>
          <w:rFonts w:ascii="Times New Roman" w:cs="Times New Roman" w:eastAsia="Times New Roman" w:hAnsi="Times New Roman"/>
          <w:sz w:val="18"/>
          <w:szCs w:val="18"/>
          <w:color w:val="auto"/>
        </w:rPr>
        <w:t>” occurs when the working interest owners who participate in the costs of drilling and completing a well recoup the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or a multiple of the costs and expenses, of drilling and completing that well. Only then are the owners who chose not to contribute to these initial costs entitled to participate with the other owners in production and share in the expenses and revenues associated with the well. The reversionary interest or back-in interest of an owner similarly occurs when the owner becomes entitled to a specified share of the working or overriding royalty interest when specified costs have been recovered from production.</w:t>
      </w:r>
    </w:p>
    <w:p>
      <w:pPr>
        <w:spacing w:after="0" w:line="183"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“Pooling election</w:t>
      </w:r>
      <w:r>
        <w:rPr>
          <w:rFonts w:ascii="Times New Roman" w:cs="Times New Roman" w:eastAsia="Times New Roman" w:hAnsi="Times New Roman"/>
          <w:sz w:val="18"/>
          <w:szCs w:val="18"/>
          <w:color w:val="auto"/>
        </w:rPr>
        <w:t>” means the statutory combination of interests which affords owners the right to choose between participating in the drilling of a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accepting royalty payments.</w:t>
      </w:r>
    </w:p>
    <w:p>
      <w:pPr>
        <w:spacing w:after="0" w:line="158" w:lineRule="exact"/>
        <w:rPr>
          <w:sz w:val="20"/>
          <w:szCs w:val="20"/>
          <w:color w:val="auto"/>
        </w:rPr>
      </w:pPr>
    </w:p>
    <w:p>
      <w:pPr>
        <w:ind w:right="3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"Proved developed reserves" </w:t>
      </w:r>
      <w:r>
        <w:rPr>
          <w:rFonts w:ascii="Times New Roman" w:cs="Times New Roman" w:eastAsia="Times New Roman" w:hAnsi="Times New Roman"/>
          <w:sz w:val="18"/>
          <w:szCs w:val="18"/>
          <w:color w:val="auto"/>
        </w:rPr>
        <w:t>means reserves that can be expected to be recovered (i) through existing wells with existing equipment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"Proved reserves"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Proved oil and natural gas reserves</w:t>
      </w:r>
      <w:r>
        <w:rPr>
          <w:rFonts w:ascii="Times New Roman" w:cs="Times New Roman" w:eastAsia="Times New Roman" w:hAnsi="Times New Roman"/>
          <w:sz w:val="18"/>
          <w:szCs w:val="18"/>
          <w:color w:val="auto"/>
        </w:rPr>
        <w:t>” means those quantities of oil and natural gas, which, by analysis of geoscience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data, can be estimated with reasonable certainty to be economically producible—from a given date forward, from known reservoirs, and under existing economic conditions, operating methods, and governmental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2"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oil and/or gas that is confined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impermeable rock or water barriers and is individual and separate from other reservoirs.</w:t>
      </w:r>
    </w:p>
    <w:p>
      <w:pPr>
        <w:spacing w:after="0" w:line="15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“Reserves</w:t>
      </w:r>
      <w:r>
        <w:rPr>
          <w:rFonts w:ascii="Times New Roman" w:cs="Times New Roman" w:eastAsia="Times New Roman" w:hAnsi="Times New Roman"/>
          <w:sz w:val="18"/>
          <w:szCs w:val="18"/>
          <w:color w:val="auto"/>
        </w:rPr>
        <w:t>” Reserves are estimated remaining quantities of oil and gas and related substances anticipated to be economically producible, as of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"Royalty" </w:t>
      </w:r>
      <w:r>
        <w:rPr>
          <w:rFonts w:ascii="Times New Roman" w:cs="Times New Roman" w:eastAsia="Times New Roman" w:hAnsi="Times New Roman"/>
          <w:sz w:val="18"/>
          <w:szCs w:val="18"/>
          <w:color w:val="auto"/>
        </w:rPr>
        <w:t>means an interest in an oil and natural gas lease that gives the owner of the interest the right to receive a portion of the production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leased acreage (or of the proceeds of the sale thereof) but generally does not require the owner to pay any portion of the costs of drilling or operating the wells on the leased acreage.</w:t>
      </w:r>
    </w:p>
    <w:p>
      <w:pPr>
        <w:spacing w:after="0" w:line="173"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"Severance tax" </w:t>
      </w:r>
      <w:r>
        <w:rPr>
          <w:rFonts w:ascii="Times New Roman" w:cs="Times New Roman" w:eastAsia="Times New Roman" w:hAnsi="Times New Roman"/>
          <w:sz w:val="18"/>
          <w:szCs w:val="18"/>
          <w:color w:val="auto"/>
        </w:rPr>
        <w:t>means an amount of tax, surcharge or levy recovered by governmental agencies from the gross proceeds of oil and natural gas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tax may be determined as a percentage of proceeds or as a specific amount per volumetric unit of sales. Severance tax is usually withheld from the gross proceeds of oil and natural gas sales by the first purchaser (e.g., pipeline or refinery) of production.</w:t>
      </w:r>
    </w:p>
    <w:p>
      <w:pPr>
        <w:spacing w:after="0" w:line="17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"Standardized measure of discounted future net cash flows" </w:t>
      </w:r>
      <w:r>
        <w:rPr>
          <w:rFonts w:ascii="Times New Roman" w:cs="Times New Roman" w:eastAsia="Times New Roman" w:hAnsi="Times New Roman"/>
          <w:sz w:val="18"/>
          <w:szCs w:val="18"/>
          <w:color w:val="auto"/>
        </w:rPr>
        <w:t>(also referred to as "standardized measure") means the pretax present value of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net revenues to be generated from the production of proved reserves calculated in accordance with SEC guidelines, net of estimated production and future development costs, using prices and costs as of the date of estimation without future escalation, without giving effect to non-property related expenses such as general and administrative expenses, debt service and depreciation, depletion and amortization, and discounted using an annual discount rate of 10%.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“Suspense release</w:t>
      </w:r>
      <w:r>
        <w:rPr>
          <w:rFonts w:ascii="Times New Roman" w:cs="Times New Roman" w:eastAsia="Times New Roman" w:hAnsi="Times New Roman"/>
          <w:sz w:val="18"/>
          <w:szCs w:val="18"/>
          <w:color w:val="auto"/>
        </w:rPr>
        <w:t>” means revenues that have been held by a purchaser or lessee, often attributable to multiple months of production.</w:t>
      </w:r>
    </w:p>
    <w:p>
      <w:pPr>
        <w:spacing w:after="0" w:line="225"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"Undeveloped acreage" </w:t>
      </w:r>
      <w:r>
        <w:rPr>
          <w:rFonts w:ascii="Times New Roman" w:cs="Times New Roman" w:eastAsia="Times New Roman" w:hAnsi="Times New Roman"/>
          <w:sz w:val="18"/>
          <w:szCs w:val="18"/>
          <w:color w:val="auto"/>
        </w:rPr>
        <w:t>means lease acreage on which wells have not been drilled or completed to a point that would permit the production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quantities of oil and natural gas regardless of whether such acreage contains proved reserves.</w:t>
      </w:r>
    </w:p>
    <w:p>
      <w:pPr>
        <w:spacing w:after="0" w:line="158"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"Unitization" </w:t>
      </w:r>
      <w:r>
        <w:rPr>
          <w:rFonts w:ascii="Times New Roman" w:cs="Times New Roman" w:eastAsia="Times New Roman" w:hAnsi="Times New Roman"/>
          <w:sz w:val="18"/>
          <w:szCs w:val="18"/>
          <w:color w:val="auto"/>
        </w:rPr>
        <w:t>means the process of combining mineral interests or leases thereof in separate tracts of land into a single entity for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or ownership purposes. Unitization is sometimes called "pooling" or "communitization" and may be voluntary or involuntary.</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"Working interest" </w:t>
      </w:r>
      <w:r>
        <w:rPr>
          <w:rFonts w:ascii="Times New Roman" w:cs="Times New Roman" w:eastAsia="Times New Roman" w:hAnsi="Times New Roman"/>
          <w:sz w:val="18"/>
          <w:szCs w:val="18"/>
          <w:color w:val="auto"/>
        </w:rPr>
        <w:t>(also referred to as an "operating interest") means a real property interest entitling the owner to receive a specified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sale of oil and natural gas production or a percentage of the production but requiring the owner of the working interest to bear the cost to explore for, develop and produce such oil and natural gas. A working interest owner who owns a portion of the working interest may participate either as operator or by voting his percentage interest to approve or disapprove the appointment of an operator and certain activities in connection with the development and operation of a property.</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Bradley 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6142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Bradley Ehrman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C.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 Vaughn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Chairman and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Lesley R. Carver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Lesley R. Carver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Martha Ann Peak Rochelle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Ann Peak Rochelle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Allen D. Lassiter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 D. Lassiter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 Damon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Damon Box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H.C. Allen,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291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H.C. Allen, Jr.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February 24, 2026</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Sarah N. Wariner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291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Sarah N. Wariner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February 24, 2026</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Albert G. Nance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291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Albert G. Nance III</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February 24, 2026</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A. Troy Sturrock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2918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Troy Sturrock</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Dorchester Minerals, L.P.</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2"/>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Number 248)</w:t>
            </w:r>
          </w:p>
        </w:tc>
        <w:tc>
          <w:tcPr>
            <w:tcW w:w="40" w:type="dxa"/>
            <w:vAlign w:val="bottom"/>
          </w:tcPr>
          <w:p>
            <w:pPr>
              <w:spacing w:after="0"/>
              <w:rPr>
                <w:sz w:val="24"/>
                <w:szCs w:val="24"/>
                <w:color w:val="auto"/>
              </w:rPr>
            </w:pPr>
          </w:p>
        </w:tc>
        <w:tc>
          <w:tcPr>
            <w:tcW w:w="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0000EE"/>
              </w:rPr>
              <w:t>F-2</w:t>
            </w:r>
          </w:p>
        </w:tc>
      </w:tr>
      <w:tr>
        <w:trPr>
          <w:trHeight w:val="412"/>
        </w:trPr>
        <w:tc>
          <w:tcPr>
            <w:tcW w:w="2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4140" w:type="dxa"/>
            <w:vAlign w:val="bottom"/>
            <w:tcBorders>
              <w:top w:val="single" w:sz="8" w:color="0000EE"/>
            </w:tcBorders>
            <w:gridSpan w:val="6"/>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F-4</w:t>
            </w:r>
          </w:p>
        </w:tc>
        <w:tc>
          <w:tcPr>
            <w:tcW w:w="300" w:type="dxa"/>
            <w:vAlign w:val="bottom"/>
            <w:gridSpan w:val="2"/>
          </w:tcPr>
          <w:p>
            <w:pPr>
              <w:spacing w:after="0"/>
              <w:rPr>
                <w:sz w:val="24"/>
                <w:szCs w:val="24"/>
                <w:color w:val="auto"/>
              </w:rPr>
            </w:pPr>
          </w:p>
        </w:tc>
      </w:tr>
      <w:tr>
        <w:trPr>
          <w:trHeight w:val="412"/>
        </w:trPr>
        <w:tc>
          <w:tcPr>
            <w:tcW w:w="2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Income Statements</w:t>
            </w:r>
          </w:p>
        </w:tc>
        <w:tc>
          <w:tcPr>
            <w:tcW w:w="826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F-5</w:t>
            </w:r>
          </w:p>
        </w:tc>
        <w:tc>
          <w:tcPr>
            <w:tcW w:w="300" w:type="dxa"/>
            <w:vAlign w:val="bottom"/>
            <w:gridSpan w:val="2"/>
          </w:tcPr>
          <w:p>
            <w:pPr>
              <w:spacing w:after="0"/>
              <w:rPr>
                <w:sz w:val="24"/>
                <w:szCs w:val="24"/>
                <w:color w:val="auto"/>
              </w:rPr>
            </w:pPr>
          </w:p>
        </w:tc>
      </w:tr>
      <w:tr>
        <w:trPr>
          <w:trHeight w:val="412"/>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Changes in Partnership Capital</w:t>
            </w:r>
          </w:p>
        </w:tc>
        <w:tc>
          <w:tcPr>
            <w:tcW w:w="40" w:type="dxa"/>
            <w:vAlign w:val="bottom"/>
          </w:tcPr>
          <w:p>
            <w:pPr>
              <w:spacing w:after="0"/>
              <w:rPr>
                <w:sz w:val="24"/>
                <w:szCs w:val="24"/>
                <w:color w:val="auto"/>
              </w:rPr>
            </w:pPr>
          </w:p>
        </w:tc>
        <w:tc>
          <w:tcPr>
            <w:tcW w:w="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0000EE"/>
              </w:rPr>
              <w:t>F-6</w:t>
            </w:r>
          </w:p>
        </w:tc>
      </w:tr>
      <w:tr>
        <w:trPr>
          <w:trHeight w:val="412"/>
        </w:trPr>
        <w:tc>
          <w:tcPr>
            <w:tcW w:w="2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1380" w:type="dxa"/>
            <w:vAlign w:val="bottom"/>
            <w:tcBorders>
              <w:top w:val="single" w:sz="8" w:color="0000EE"/>
            </w:tcBorders>
            <w:gridSpan w:val="3"/>
          </w:tcPr>
          <w:p>
            <w:pPr>
              <w:spacing w:after="0"/>
              <w:rPr>
                <w:sz w:val="24"/>
                <w:szCs w:val="24"/>
                <w:color w:val="auto"/>
              </w:rPr>
            </w:pPr>
          </w:p>
        </w:tc>
        <w:tc>
          <w:tcPr>
            <w:tcW w:w="63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F-7</w:t>
            </w:r>
          </w:p>
        </w:tc>
        <w:tc>
          <w:tcPr>
            <w:tcW w:w="300" w:type="dxa"/>
            <w:vAlign w:val="bottom"/>
            <w:gridSpan w:val="2"/>
          </w:tcPr>
          <w:p>
            <w:pPr>
              <w:spacing w:after="0"/>
              <w:rPr>
                <w:sz w:val="24"/>
                <w:szCs w:val="24"/>
                <w:color w:val="auto"/>
              </w:rPr>
            </w:pPr>
          </w:p>
        </w:tc>
      </w:tr>
      <w:tr>
        <w:trPr>
          <w:trHeight w:val="412"/>
        </w:trPr>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F-8</w:t>
            </w:r>
          </w:p>
        </w:tc>
        <w:tc>
          <w:tcPr>
            <w:tcW w:w="300" w:type="dxa"/>
            <w:vAlign w:val="bottom"/>
            <w:gridSpan w:val="2"/>
          </w:tcPr>
          <w:p>
            <w:pPr>
              <w:spacing w:after="0"/>
              <w:rPr>
                <w:sz w:val="24"/>
                <w:szCs w:val="24"/>
                <w:color w:val="auto"/>
              </w:rPr>
            </w:pPr>
          </w:p>
        </w:tc>
      </w:tr>
      <w:tr>
        <w:trPr>
          <w:trHeight w:val="412"/>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Supplemental Oil and Natural Gas Data (Unaudited)</w:t>
            </w:r>
          </w:p>
        </w:tc>
        <w:tc>
          <w:tcPr>
            <w:tcW w:w="6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0000EE"/>
                <w:w w:val="99"/>
              </w:rPr>
              <w:t>F-13</w:t>
            </w:r>
          </w:p>
        </w:tc>
      </w:tr>
      <w:tr>
        <w:trPr>
          <w:trHeight w:val="669"/>
        </w:trPr>
        <w:tc>
          <w:tcPr>
            <w:tcW w:w="2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F-1</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2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and Unitholders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Dorchester Minerals, L.P. (a Delaware limited partnership) and subsidiaries (the “Partnership”) as of December 31, 2025,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COSO.</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Partnership as of and for the year ended December 31, 2025, and our report dated February 24,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and Unitholders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Dorchester Minerals, L.P. (a Delaware limited partnership) and subsidiaries (the “Partnership”) as of December 31, 2025 and 2024, the related consolidated statements of income, changes in partnership capital,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Partnership’s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24, 2026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Partnership’s management. Our responsibility is to express an opinion on the Partnership’s consolidated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1998.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41,937</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42,508</w:t>
            </w: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profits interest receivable - related party</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67,832</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 and natural gas properties (full cost method)</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727,446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full cost depletion</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(429,435)</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309,554</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366,812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PARTNERSHIP CAPITAL</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payable and other 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Partnership capital:</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Partner</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194"/>
        </w:trPr>
        <w:tc>
          <w:tcPr>
            <w:tcW w:w="802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Unitholders (48,256 and 47,340 common units issued and outstanding as of December 31, 2025 and</w:t>
            </w: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310,064</w:t>
            </w:r>
          </w:p>
        </w:tc>
        <w:tc>
          <w:tcPr>
            <w:tcW w:w="12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363,785</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2024,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partnership capital</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partnership capital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 each of the Years Ended December 31,</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unit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Royalties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127,823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137,465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114,531</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profits interest - related party</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13,928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34,338</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Lease bonus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12,668</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w:t>
            </w:r>
          </w:p>
        </w:tc>
      </w:tr>
      <w:tr>
        <w:trPr>
          <w:trHeight w:val="20"/>
        </w:trPr>
        <w:tc>
          <w:tcPr>
            <w:tcW w:w="55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152,832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163,799</w:t>
            </w:r>
          </w:p>
        </w:tc>
      </w:tr>
      <w:tr>
        <w:trPr>
          <w:trHeight w:val="209"/>
        </w:trPr>
        <w:tc>
          <w:tcPr>
            <w:tcW w:w="5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Production taxes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5,834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10,022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6,435</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26,307</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 - related party</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11,145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7,814</w:t>
            </w:r>
          </w:p>
        </w:tc>
      </w:tr>
      <w:tr>
        <w:trPr>
          <w:trHeight w:val="20"/>
        </w:trPr>
        <w:tc>
          <w:tcPr>
            <w:tcW w:w="55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95,480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49,682</w:t>
            </w:r>
          </w:p>
        </w:tc>
      </w:tr>
      <w:tr>
        <w:trPr>
          <w:trHeight w:val="20"/>
        </w:trPr>
        <w:tc>
          <w:tcPr>
            <w:tcW w:w="5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57,352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92,449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114,117</w:t>
            </w:r>
          </w:p>
        </w:tc>
      </w:tr>
      <w:tr>
        <w:trPr>
          <w:trHeight w:val="197"/>
        </w:trPr>
        <w:tc>
          <w:tcPr>
            <w:tcW w:w="55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net income:</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Partner</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3,728</w:t>
            </w:r>
          </w:p>
        </w:tc>
      </w:tr>
      <w:tr>
        <w:trPr>
          <w:trHeight w:val="25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55,252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110,389</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 (basic and diluted)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basic and diluted common units outstanding</w:t>
            </w: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47,654</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38,783</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CONSOLIDATED STATEMENTS OF CHANGES IN PARTNERSHIP CAPITAL For each of the Years Ended December 31,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Unitholder</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Unitholders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170,842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171,518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38,372</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Acquisitions of oil and natural gas properties for common units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35,777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Distributions ($3.395933 per common unit)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(131,564)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39,583</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Acquisitions of oil and natural gas properties for common units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235,663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235,663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7,757</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Distributions ($3.487554 per common unit)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(146,522)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(151,881)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363,785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361,788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47,340</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of oil and natural gas properties for common units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23,043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Distributions ($2.775346 per common unit)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310,064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305,239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48,256</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each of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57,352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92,449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114,117</w:t>
            </w:r>
          </w:p>
        </w:tc>
      </w:tr>
      <w:tr>
        <w:trPr>
          <w:trHeight w:val="194"/>
        </w:trPr>
        <w:tc>
          <w:tcPr>
            <w:tcW w:w="602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66,300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26,307</w:t>
            </w:r>
          </w:p>
        </w:tc>
      </w:tr>
      <w:tr>
        <w:trPr>
          <w:trHeight w:val="216"/>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Amortization of operating lease right-of-use asset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profits interest receivable - related party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Accounts payable and other current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60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132,485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139,842</w:t>
            </w:r>
          </w:p>
        </w:tc>
      </w:tr>
      <w:tr>
        <w:trPr>
          <w:trHeight w:val="210"/>
        </w:trPr>
        <w:tc>
          <w:tcPr>
            <w:tcW w:w="6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b w:val="1"/>
          <w:bCs w:val="1"/>
          <w:color w:val="auto"/>
        </w:rPr>
        <w:t>Net cash contributed in acquisitions of oil and natural gas properties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Distributions paid to General Partner and unitholders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40"/>
        <w:spacing w:after="0"/>
        <w:tabs>
          <w:tab w:leader="none" w:pos="1820" w:val="left"/>
          <w:tab w:leader="none" w:pos="3560" w:val="left"/>
        </w:tabs>
        <w:rPr>
          <w:sz w:val="20"/>
          <w:szCs w:val="20"/>
          <w:color w:val="auto"/>
        </w:rPr>
      </w:pPr>
      <w:r>
        <w:rPr>
          <w:rFonts w:ascii="Times New Roman" w:cs="Times New Roman" w:eastAsia="Times New Roman" w:hAnsi="Times New Roman"/>
          <w:sz w:val="18"/>
          <w:szCs w:val="18"/>
          <w:color w:val="auto"/>
        </w:rPr>
        <w:t>3,888</w:t>
      </w:r>
      <w:r>
        <w:rPr>
          <w:sz w:val="20"/>
          <w:szCs w:val="20"/>
          <w:color w:val="auto"/>
        </w:rPr>
        <w:tab/>
      </w:r>
      <w:r>
        <w:rPr>
          <w:rFonts w:ascii="Times New Roman" w:cs="Times New Roman" w:eastAsia="Times New Roman" w:hAnsi="Times New Roman"/>
          <w:sz w:val="18"/>
          <w:szCs w:val="18"/>
          <w:color w:val="auto"/>
        </w:rPr>
        <w:t>14,725</w:t>
      </w:r>
      <w:r>
        <w:rPr>
          <w:sz w:val="20"/>
          <w:szCs w:val="20"/>
          <w:color w:val="auto"/>
        </w:rPr>
        <w:tab/>
      </w:r>
      <w:r>
        <w:rPr>
          <w:rFonts w:ascii="Times New Roman" w:cs="Times New Roman" w:eastAsia="Times New Roman" w:hAnsi="Times New Roman"/>
          <w:sz w:val="18"/>
          <w:szCs w:val="18"/>
          <w:color w:val="auto"/>
        </w:rPr>
        <w:t>2,284</w:t>
      </w:r>
    </w:p>
    <w:p>
      <w:pPr>
        <w:spacing w:after="0" w:line="200" w:lineRule="exact"/>
        <w:rPr>
          <w:sz w:val="20"/>
          <w:szCs w:val="20"/>
          <w:color w:val="auto"/>
        </w:rPr>
      </w:pPr>
    </w:p>
    <w:p>
      <w:pPr>
        <w:spacing w:after="0" w:line="255" w:lineRule="exact"/>
        <w:rPr>
          <w:sz w:val="20"/>
          <w:szCs w:val="20"/>
          <w:color w:val="auto"/>
        </w:rPr>
      </w:pPr>
    </w:p>
    <w:p>
      <w:pPr>
        <w:spacing w:after="0"/>
        <w:tabs>
          <w:tab w:leader="none" w:pos="1660" w:val="left"/>
          <w:tab w:leader="none" w:pos="3320" w:val="left"/>
        </w:tabs>
        <w:rPr>
          <w:sz w:val="20"/>
          <w:szCs w:val="20"/>
          <w:color w:val="auto"/>
        </w:rPr>
      </w:pPr>
      <w:r>
        <w:rPr>
          <w:rFonts w:ascii="Times New Roman" w:cs="Times New Roman" w:eastAsia="Times New Roman" w:hAnsi="Times New Roman"/>
          <w:sz w:val="18"/>
          <w:szCs w:val="18"/>
          <w:color w:val="auto"/>
        </w:rPr>
        <w:t>(136,944)</w:t>
      </w:r>
      <w:r>
        <w:rPr>
          <w:sz w:val="20"/>
          <w:szCs w:val="20"/>
          <w:color w:val="auto"/>
        </w:rPr>
        <w:tab/>
      </w:r>
      <w:r>
        <w:rPr>
          <w:rFonts w:ascii="Times New Roman" w:cs="Times New Roman" w:eastAsia="Times New Roman" w:hAnsi="Times New Roman"/>
          <w:sz w:val="18"/>
          <w:szCs w:val="18"/>
          <w:color w:val="auto"/>
        </w:rPr>
        <w:t>(151,881)</w:t>
      </w:r>
      <w:r>
        <w:rPr>
          <w:sz w:val="20"/>
          <w:szCs w:val="20"/>
          <w:color w:val="auto"/>
        </w:rPr>
        <w:tab/>
      </w:r>
      <w:r>
        <w:rPr>
          <w:rFonts w:ascii="Times New Roman" w:cs="Times New Roman" w:eastAsia="Times New Roman" w:hAnsi="Times New Roman"/>
          <w:sz w:val="18"/>
          <w:szCs w:val="18"/>
          <w:color w:val="auto"/>
        </w:rPr>
        <w:t>(135,855)</w:t>
      </w:r>
    </w:p>
    <w:p>
      <w:pPr>
        <w:spacing w:after="0" w:line="47" w:lineRule="exact"/>
        <w:rPr>
          <w:sz w:val="20"/>
          <w:szCs w:val="20"/>
          <w:color w:val="auto"/>
        </w:rPr>
      </w:pPr>
    </w:p>
    <w:p>
      <w:pPr>
        <w:sectPr>
          <w:pgSz w:w="11900" w:h="16838" w:orient="portrait"/>
          <w:cols w:equalWidth="0" w:num="2">
            <w:col w:w="6420" w:space="720"/>
            <w:col w:w="4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(571)</w:t>
            </w:r>
          </w:p>
        </w:tc>
        <w:tc>
          <w:tcPr>
            <w:tcW w:w="4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(4,517)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6,271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42,508</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47,025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40,754</w:t>
            </w: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41,937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42,508</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47,025</w:t>
            </w:r>
          </w:p>
        </w:tc>
      </w:tr>
      <w:tr>
        <w:trPr>
          <w:trHeight w:val="196"/>
        </w:trPr>
        <w:tc>
          <w:tcPr>
            <w:tcW w:w="60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60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Fair value of common units issued for acquisitions of oil and natural gas</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23,043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235,663</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35,777</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2" w:lineRule="exact"/>
        <w:rPr>
          <w:sz w:val="20"/>
          <w:szCs w:val="20"/>
          <w:color w:val="auto"/>
        </w:rPr>
      </w:pPr>
    </w:p>
    <w:p>
      <w:pPr>
        <w:ind w:right="7940" w:firstLine="332"/>
        <w:spacing w:after="0" w:line="503" w:lineRule="auto"/>
        <w:tabs>
          <w:tab w:leader="none" w:pos="64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 Description of the Business</w:t>
      </w:r>
    </w:p>
    <w:p>
      <w:pPr>
        <w:ind w:left="340"/>
        <w:spacing w:after="0"/>
        <w:rPr>
          <w:sz w:val="20"/>
          <w:szCs w:val="20"/>
          <w:color w:val="auto"/>
        </w:rPr>
      </w:pPr>
      <w:r>
        <w:rPr>
          <w:rFonts w:ascii="Times New Roman" w:cs="Times New Roman" w:eastAsia="Times New Roman" w:hAnsi="Times New Roman"/>
          <w:sz w:val="18"/>
          <w:szCs w:val="18"/>
          <w:color w:val="auto"/>
        </w:rPr>
        <w:t>Dorchester Minerals, L.P. (the “Partnership”) is a publicly traded Delaware limited partnership that commenced operations on January 31, 2003.</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Partnership is based in Dallas, Texas and our business may be described as the acquisition, ownership and administration of Royalty Properties (which consists of producing and nonproducing mineral, royalty, overriding royalty, net profits, and leasehold interests located in 594 counties and parishes in 28 states (“Royalty Properties”)) and net profits overriding royalty interests (referred to as the “Net Profits Interest”, or “NPI”). In these Notes, the term “Partnership,” as well as the terms “us,” “our,” “we,” and “its” are sometimes used as abbreviated references to Dorchester Minerals, L.P. itself or Dorchester Minerals, L.P. and its related entities.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herein have been prepared in accordance with accounting principles generally accepted in the United States (“U.S. GAAP”). The consolidated financial statements include the accounts of Dorchester Minerals, L.P., Dorchester Minerals Oklahoma, LP, Dorchester Minerals Oklahoma GP, Inc., Maecenas Minerals LLP, Dorchester-Maecenas GP LLC, The Buffalo Co., A Limited Partnership, and DMLPTBC GP LLC, and DMLP Terra Firma LLC. All intercompany balances and transactions have been eliminated in consolidation.</w:t>
      </w:r>
    </w:p>
    <w:p>
      <w:pPr>
        <w:spacing w:after="0" w:line="139" w:lineRule="exact"/>
        <w:rPr>
          <w:sz w:val="20"/>
          <w:szCs w:val="20"/>
          <w:color w:val="auto"/>
        </w:rPr>
      </w:pPr>
    </w:p>
    <w:p>
      <w:pPr>
        <w:ind w:right="580" w:firstLine="324"/>
        <w:spacing w:after="0" w:line="236" w:lineRule="exact"/>
        <w:rPr>
          <w:sz w:val="20"/>
          <w:szCs w:val="20"/>
          <w:color w:val="auto"/>
        </w:rPr>
      </w:pPr>
      <w:r>
        <w:rPr>
          <w:rFonts w:ascii="Times New Roman" w:cs="Times New Roman" w:eastAsia="Times New Roman" w:hAnsi="Times New Roman"/>
          <w:sz w:val="18"/>
          <w:szCs w:val="18"/>
          <w:color w:val="auto"/>
        </w:rPr>
        <w:t>Certain amounts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consolidated financial statements have been reclassified to conform to the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presentation. Management believes these reclassifications enhance the clarity and consistency of the financial statement presentation. These are presentation only reclassifications and had no effect on total assets, total liabilities, shareholders’ equity, net income, or cash flows for any periods presented.</w:t>
      </w:r>
    </w:p>
    <w:p>
      <w:pPr>
        <w:spacing w:after="0" w:line="22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4" w:lineRule="exact"/>
        <w:rPr>
          <w:sz w:val="20"/>
          <w:szCs w:val="20"/>
          <w:color w:val="auto"/>
        </w:rPr>
      </w:pPr>
    </w:p>
    <w:p>
      <w:pPr>
        <w:ind w:right="4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Basic and Diluted Earnings Per Unit </w:t>
      </w:r>
      <w:r>
        <w:rPr>
          <w:rFonts w:ascii="Times New Roman" w:cs="Times New Roman" w:eastAsia="Times New Roman" w:hAnsi="Times New Roman"/>
          <w:sz w:val="18"/>
          <w:szCs w:val="18"/>
          <w:color w:val="auto"/>
        </w:rPr>
        <w:t>— Per-unit information is calculated by dividing the net income applicable to holders of our Partnership’s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by the weighted average number of units outstanding. The Partnership has no potentially dilutive securities and, accordingly, basic and dilutive net income per unit do not differ.</w:t>
      </w:r>
    </w:p>
    <w:p>
      <w:pPr>
        <w:spacing w:after="0" w:line="17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management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reported amounts of assets and liabilities at the date of the financial statements and the reported amounts of revenues and expenses during the reporting period. The Partnership evaluates these estimates on an ongoing basis, using historical experience, consultation with experts and other methods the Partnership considers reasonable in each circumstance. Any effects on the Partnership’s business, financial position, or results of operations resulting from revisions to these estimates are recorded in the period in which the facts that give rise to the revision become known. Although the Partnership believes these estimates are reasonable, actual results could differ from those estimates.</w:t>
      </w:r>
    </w:p>
    <w:p>
      <w:pPr>
        <w:spacing w:after="0" w:line="18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Partner </w:t>
      </w:r>
      <w:r>
        <w:rPr>
          <w:rFonts w:ascii="Times New Roman" w:cs="Times New Roman" w:eastAsia="Times New Roman" w:hAnsi="Times New Roman"/>
          <w:sz w:val="18"/>
          <w:szCs w:val="18"/>
          <w:color w:val="auto"/>
        </w:rPr>
        <w:t>— Our general partner is Dorchester Minerals Management LP, referred to in these Notes as “our General Partner.” Our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owns all of the partnership interests in Dorchester Minerals Operating LP, the Operating Partnership. See Note 4 —Related Party Transactions. The General Partner is allocated 4% and 1% of our Royalty Properties’ net revenues and Net Profits Interest (“NPI”) proceeds received by the Operating Partnership, respectively.</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Our principal banking relationships are with major financial institutions. Cash balances in these accounts may, at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federally insured limits. We have not experienced any losses in such cash accounts and do not believe we are exposed to any significant risk on cash and cash equivalents. Short term investments with an original maturity of three months or less are considered to be cash equivalents and are carried at cost, which approximates fair value.</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Risks and Significant Customers </w:t>
      </w:r>
      <w:r>
        <w:rPr>
          <w:rFonts w:ascii="Times New Roman" w:cs="Times New Roman" w:eastAsia="Times New Roman" w:hAnsi="Times New Roman"/>
          <w:sz w:val="18"/>
          <w:szCs w:val="18"/>
          <w:color w:val="auto"/>
        </w:rPr>
        <w:t>— Our Partnership, as a royalty owner, has no control over the volumes or method of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and natural gas produced and sold from the Royalty Properties and NPI. Royalties operating revenues from properties operated by Exxon Mobil Corporation and its subsidiaries and Chevron Corporation and its subsidiaries represented approximately 15% and 10% of total operating revenues for the year ended December 31, 2025, respectively. Royalties operating revenues from properties operated by Exxon Mobil Corporation and its subsidiaries and Diamondback Energy, Inc. represented approximately 16% and 15% of total operating revenues for the year ended December 31, 2024, respectively. Royalties operating revenues from properties operated by Pioneer Natural Resources Company represented approximately 11% of total operating revenues for the year ended December 31, 2023. If we were to lose a significant customer, such loss could impact revenue. The loss of any single customer is mitigated by our diversified customer base, and we do not believe that the loss of any single customer would have a long-term material adverse effect on our financial position or the results of operations.</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carrying amount of cash and cash equivalents, trade and other receivables, net profits interest receivable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party, and accounts payables and other current liabilities approximates fair value because of the short maturity of those instruments. These estimated fair values may not be representative of actual values of the financial instruments that could have been realized as of year-end or that will be realized in the future.</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 Our Partnership’s accounts receivable and net profits interest receivable consist primarily of Royalty Properties payments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NPI payments receivable, respectively. Most payments are received two to three months after the production date. No reserve for current expected credit losses on accounts receivable is deemed necessary based upon our lack of historical write offs and review of current receivables. The Partnership’s receivables as of the years ended December 31, 2025, 2024 and 2023 consists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Properties receivable</w:t>
            </w: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00" w:type="dxa"/>
            <w:vAlign w:val="bottom"/>
            <w:shd w:val="clear" w:color="auto" w:fill="CCEEFF"/>
          </w:tcPr>
          <w:p>
            <w:pPr>
              <w:spacing w:after="0"/>
              <w:rPr>
                <w:sz w:val="18"/>
                <w:szCs w:val="18"/>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97"/>
        </w:trPr>
        <w:tc>
          <w:tcPr>
            <w:tcW w:w="422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3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bl>
    <w:p>
      <w:pPr>
        <w:sectPr>
          <w:pgSz w:w="11900" w:h="16900" w:orient="portrait"/>
          <w:cols w:equalWidth="0" w:num="1">
            <w:col w:w="11240"/>
          </w:cols>
          <w:pgMar w:left="320" w:top="121" w:right="3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13,968</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13,735</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profits interest receivable - related party</w:t>
            </w:r>
          </w:p>
        </w:tc>
        <w:tc>
          <w:tcPr>
            <w:tcW w:w="19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Pr>
          <w:p>
            <w:pPr>
              <w:spacing w:after="0"/>
              <w:rPr>
                <w:sz w:val="18"/>
                <w:szCs w:val="18"/>
                <w:color w:val="auto"/>
              </w:rPr>
            </w:pPr>
          </w:p>
        </w:tc>
      </w:tr>
      <w:tr>
        <w:trPr>
          <w:trHeight w:val="243"/>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Receivables</w:t>
            </w:r>
          </w:p>
        </w:tc>
        <w:tc>
          <w:tcPr>
            <w:tcW w:w="2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16,481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24,785</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22,010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25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F- 8</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Oil and Natural Gas Properties </w:t>
      </w:r>
      <w:r>
        <w:rPr>
          <w:rFonts w:ascii="Times New Roman" w:cs="Times New Roman" w:eastAsia="Times New Roman" w:hAnsi="Times New Roman"/>
          <w:sz w:val="18"/>
          <w:szCs w:val="18"/>
          <w:color w:val="auto"/>
        </w:rPr>
        <w:t>— We utilize the full cost method of accounting for costs related to our oil and natural gas properties.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all such costs are capitalized and amortized on an aggregate basis over the estimated lives of the properties using the unit-of-production method. These capitalized costs are subject to a ceiling test, which limits such pooled costs to the aggregate of the present value of future net revenues attributable to proved oil and natural gas reserves discounted at 10% plus the lower of cost or market value of unproved properties. For the purposes of determining the capitalized costs ceiling, our Partnership only assigned value to proved developed producing oil and natural gas reserves as of December 31, 2025. The full cost ceiling is evaluated at the end of each quarter and when events indicate possible impairment. There have been no impairments for the years ended December 31, 2025, 2024 and 2023 as a result of the full cost ceiling test.</w:t>
      </w:r>
    </w:p>
    <w:p>
      <w:pPr>
        <w:spacing w:after="0" w:line="185"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discounted present value of our proved oil and natural gas reserves is a major component of the ceiling test calculation and requires many subjective judgments. Estimates of reserves are forecasts based on engineering and geological analyses. Different reserve engineers could reach different conclusions as to estimated quantities of oil and natural gas reserves based on the same information. The passage of time provides more qualitative and quantitative information regarding reserve estimates, and revisions are made to prior estimates based on updated information. However, there can be no assurance that more significant revisions will not be necessary in the future. Significant downward revisions could result in an impairment representing a non-cash charge to income. In addition to the impact on the calculation of the ceiling test, estimates of proved reserves are also a major component of the calculation of depletion.</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While the quantities of proved reserves require substantial judgment, the associated prices of oil and natural gas reserves that are included in the discounted present value of our reserves are objectively determined. The ceiling test calculation requires use of the unweighted arithmetic average of the first day of the month price during the 12-month period ending on the balance sheet date and costs in effect as of the last day of the accounting period, which are generally held constant for the life of the oil and natural gas properties. As a result, the present value is not necessarily an indication of the fair value of the reserves. Oil and natural gas prices have historically been volatile, and the prevailing prices at any given time may not reflect our Partnership’s or the industry’s forecast of future prices.</w:t>
      </w:r>
    </w:p>
    <w:p>
      <w:pPr>
        <w:spacing w:after="0" w:line="187"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Gains and losses are recognized upon the disposition of oil and natural gas properties involving a significant portion (greater than 25%) of our Partnership’s reserves. Proceeds from other dispositions of oil and natural gas properties are credited to the full cost pool.</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Leasehold Improvements </w:t>
      </w:r>
      <w:r>
        <w:rPr>
          <w:rFonts w:ascii="Times New Roman" w:cs="Times New Roman" w:eastAsia="Times New Roman" w:hAnsi="Times New Roman"/>
          <w:sz w:val="18"/>
          <w:szCs w:val="18"/>
          <w:color w:val="auto"/>
        </w:rPr>
        <w:t>— Leasehold improvements are amortized over the shorter of their estimated useful lives or the related life of the lease.</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Partnership determines if an arrangement is a lease at inception. The Partnership leases its office space at 3838 Oak Lawn Avenue, Suite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300, Dallas, Texas, through an operating lease (the “Office Lease”). The operating lease is included in operating lease right-of-use (“ROU”) asset and operating lease liability in our consolidated balance sheets. Operating lease expense is included in general and administrative expenses in the consolidated income statements.</w:t>
      </w:r>
    </w:p>
    <w:p>
      <w:pPr>
        <w:spacing w:after="0" w:line="18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lease payments over the lease term at commencement date. As the Partnership’s lease does not provide an implicit rate of return and as the Partnership is precluded from incurring any borrowings above a nominal amount under its partnership agreement, the Partnership used a discount rate commensurate with the incremental borrowing rate of a group of peers based on information available at the application date in determining the present value of lease payments. Lease expense for minimum lease payments is recognized on a straight-line basis over the lease term.</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 Based on the nature of our property ownership, we have no material obligations to record.</w:t>
      </w:r>
    </w:p>
    <w:p>
      <w:pPr>
        <w:spacing w:after="0" w:line="225"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pricing of oil and natural gas sales from the Royalty Properties and NPI is primarily determined by supply and demand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marketplace and can fluctuate considerably. As a royalty owner, we have no operational control over the volumes and method of sale of oil and natural gas produced and sold from the Royalty Properties and NPI.</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Royalty Properties and NPI are recorded under the cash receipts approach as directly received from the remitters’ statement accompanying the revenue check. Since the revenue checks are generally received two to three months after the production month, the Partnership accrues for revenue earned but not received by estimating production volumes and product prices. Identified differences between our accrued revenue estimates and actual revenue received historically have not been significant.</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Partnership does not record revenue for unsatisfied or partially unsatisfied performance obligations. The Partnership’s right to revenues from Royalty Properties and NPI occurs at the time of production, at which point, payment is unconditional, and no remaining performance obligation exists for the Partnership. Accordingly, the Partnership’s revenue contracts for Royalty Properties and NPI do not generate contract assets or liabilities.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the Partnership’s oil and natural gas revenues from production on the Royalty Properties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sales (1)</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102,323</w:t>
            </w:r>
          </w:p>
        </w:tc>
        <w:tc>
          <w:tcPr>
            <w:tcW w:w="100" w:type="dxa"/>
            <w:vAlign w:val="bottom"/>
            <w:shd w:val="clear" w:color="auto" w:fill="CCEEFF"/>
          </w:tcPr>
          <w:p>
            <w:pPr>
              <w:spacing w:after="0"/>
              <w:rPr>
                <w:sz w:val="18"/>
                <w:szCs w:val="18"/>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Natural gas sales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13,707</w:t>
            </w: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7,772</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12,208</w:t>
            </w:r>
          </w:p>
        </w:tc>
      </w:tr>
      <w:tr>
        <w:trPr>
          <w:trHeight w:val="223"/>
        </w:trPr>
        <w:tc>
          <w:tcPr>
            <w:tcW w:w="4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Royalties operating revenue</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natural gas liquids sales.</w:t>
      </w:r>
    </w:p>
    <w:p>
      <w:pPr>
        <w:spacing w:after="0" w:line="22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Revenues from lease bonus payments are recorded upon receipt. The lease bonus is separate from the lease itself and is recognized as revenue to the Partnership upon receipt of payment. The Partnership generates lease bonus revenue by leasing its mineral interests to exploration and production companies and includes proceeds from assignments of leasehold interests where the Partnership retains an interest. A lease agreement represents the Partnership’s contract with a lessee and generally transfers the rights to develop oil or natural gas, grants the Partnership a right to a specified royalty</w:t>
      </w:r>
    </w:p>
    <w:p>
      <w:pPr>
        <w:sectPr>
          <w:pgSz w:w="11900" w:h="16838" w:orient="portrait"/>
          <w:cols w:equalWidth="0" w:num="1">
            <w:col w:w="11240"/>
          </w:cols>
          <w:pgMar w:left="320" w:top="121" w:right="339" w:bottom="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interest, and requires that drilling and completion operations commence within a specified time period. Upon signing a lease agreement, no further performance obligation exists for the Partnership, and therefore, no contract assets or contract liabilities are generated.</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are treated as a partnership for income tax purposes and, as a result, our income or loss is includable in the tax returns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unitholders. Depletion of oil and natural gas properties is an expense allowable to each individual partner, and the depletion expense as reported on the consolidated financial statements will not be indicative of the depletion expense an individual partner or unitholder may be able to deduct for income tax purposes.</w:t>
      </w:r>
    </w:p>
    <w:p>
      <w:pPr>
        <w:spacing w:after="0" w:line="18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Texas imposes a franchise tax (commonly referred to as the Texas margin tax) at a rate of 0.75% on gross revenues less certain deductions, as specifically set forth in the Texas margin tax statute. The Texas margin tax applies to corporations and limited liability companies, general and limited partnerships (unless otherwise exempt), limited liability partnerships, trusts (unless otherwise exempt), business trusts, business associations, professional associations, joint stock companies, holding companies, joint ventures, and certain other business entities having limited liability protection.</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Limited partnerships that receive at least 90% of their gross income from designated passive sources, including royalties from mineral properties and other non-operated mineral interest income, and do not receive more than 10% of their income from operating an active trade or business, are generally exempt from the Texas margin tax as “passive entities.” We believe our Partnership meets the requirements for being considered a “passive entity” for Texas margin tax purposes and, therefore, it is exempt from the Texas margin tax. If the Partnership is exempt from Texas margin tax as a passive entity, each unitholder that is considered a taxable entity under the Texas margin tax would generally be required to include its portion of Partnership revenues in its own Texas margin tax computation. The Texas Administrative Code provides that such income is sourced according to the principal place of business of the Partnership, which would be the state of Texas.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—Reporting Comprehensive Income—Expense Disaggregation Disclosures (Subtopic 220-40): Disaggregation of Income Statement Expenses” (“ASU 2024-03”), which requires public entities to disclosure additional information about certain costs and expenses included in relevant expense captions presented on the income statement. ASU 2024-03 is effective for annual periods beginning after December 15, 2026, and for interim periods within annual reporting periods beginning after December 15, 2027, with early adoption permitted. Management is evaluating ASU 2024-03 to determine its impact on the Partnership’s disclosures.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2025-11, “Interim Reporting (Topic 270): Narrow-Scope Improvements” (“ASU 2025-11”), which improves the guidance in Topic 270 by improving the navigability of the required interim disclosures and clarifying when that guidance is applicable. The ASU includes a comprehensive list of required interim disclosures and adds a principle that requires entities to disclose events since the end of the last annual reporting period that have a material impact on the entity. ASU 2025-11 is effective for interim reporting periods within annual reporting periods beginning after December 15, 2027, with early adoption permitted. Management is evaluating ASU 2025-11 to determine its impact on the Partnership’s disclosures.</w:t>
      </w:r>
    </w:p>
    <w:p>
      <w:pPr>
        <w:spacing w:after="0" w:line="18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Partnership considers the applicability and impact of all ASUs. There are no other recent accounting pronouncements not yet adopted that are expected to have a material effect on the Partnership upon adoption.</w:t>
      </w:r>
    </w:p>
    <w:p>
      <w:pPr>
        <w:spacing w:after="0" w:line="18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for Units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August 29, 2025, pursuant to a non-taxable contribution and exchange agreement with multiple unrelated third parties, the Partnership acquired mineral interests totaling approximately 3,050 net royalty acres located in Adams County, Colorado in exchange for 915,694 common units representing limited partnership interests in the Partnership valued at $23.0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$1.8 million is included in net cash contributed in acquisitions on the consolidated statement of cash flows for the year ended December 31, 2025. Oil and natural gas properties, at cost, on the consolidated balance sheet as of December 31, 2025 includes $19.7 million of net capitalized costs attributable to proved oil and natural gas properties acquired in the transaction.</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West Texas Minerals LLC, a Delaware limited liability company, Carrollton Mineral Partners, LP, a Texas limited partnership, Carrollton Mineral Partners Fund II, LP, a Texas limited partnership, Carrollton Mineral Partners III, LP, a Texas limited partnership, Carrollton Mineral Partners III-B, LP, a Texas limited partnership, Carrollton Mineral Partners IV, LP, a Texas limited partnership, CMP Permian, LP, a Texas limited partnership, CMP Glasscock, LP, a Texas limited partnership, and Carrollton Royalty, LP, a Texas limited partnership, the Partnership acquired mineral, royalty, and overriding royalty interests in producing and non-producing oil and natural gas properties representing approximately 14,225 net mineral acres located in 14 counties across New Mexico and Texas in exchange for 6,721,144 common units representing limited partnership interests in the Partnership valued at $202.6 million and issued pursuant to the Partnership’s registration statements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$8.8 million is included in net cash contributed in acquisitions on the consolidated statement of cash flows for the year ended December 31, 2024. Oil and natural gas properties, at cost, on the consolidated balance sheet as of December 31, 2024 includes $193.7 million of net capitalized costs</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attributable to proved oil and natural gas properties acquired in the transaction. Final settlement net cash received, net of capitalized transaction costs paid, of $1.9 million is included in net cash contributed in acquisitions on the consolidated statement of cash flows for the year ended December 31, 2025.</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231"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an unrelated third party, the Partnership acquired overriding royalty interests totaling approximately 1,204 net royalty acres located in Weld County, Colorado in exchange for 530,000 common units representing limited partnership interests in the Partnership valued at $16.0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$1.4 million is included in net cash contributed in acquisitions on the consolidated statement of cash flows for the year ended December 31, 2024. Oil and natural gas properties, at cost, on the consolidated balance sheet as of December 31, 2024 includes $14.6 million of net capitalized costs attributable to proved oil and natural gas properties acquired in the transaction.</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March 28, 2024, pursuant to a non-taxable contribution and exchange agreement with multiple unrelated third parties, the Partnership acquired mineral interests totaling approximately 1,485 net royalty acres located in two counties in Colorado in exchange for 505,369 common units representing limited partnership interests in the Partnership valued at $17.0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$4.4 million is included in net cash contributed in acquisitions on the consolidated statement of cash flows for the year ended December 31, 2024. Oil and natural gas properties, at cost, on the consolidated balance sheet as of December 31, 2024 includes $12.3 million of net capitalized costs attributable to proved oil and natural gas properties acquired in the transaction.</w:t>
      </w:r>
    </w:p>
    <w:p>
      <w:pPr>
        <w:spacing w:after="0" w:line="18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Final settlement net cash received, net of capitalized transaction costs paid, of $0.2 million is included in net cash contributed in acquisitions on the consolidated statement of cash flows for the year ended December 31, 2025.</w:t>
      </w:r>
    </w:p>
    <w:p>
      <w:pPr>
        <w:spacing w:after="0" w:line="18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General Partner owns all of the partnership interests in the Operating Partnership. The Operating Partnership is the employer of all personnel, owns the working interests and other properties underlying our NPI, and provides day-to-day operational and administrative services to us and the General Partner. In accordance with our partnership agreement, we reimburse the General Partner for certain allocable general and administrative costs, including rent, salaries, and employee equity and benefit plans that are not direct expenses. These types of reimbursements are limited to 5% of distributions, plus certain costs previously paid. All such costs have been below the annual 5% limit amount, including the allowable surplus carryforward, for the years ended December 31, 2025, 2024 and 2023. Additionally, certain reimbursable direct expenses such as professional and regulatory fees, as well as certain general and administrative costs that are related to regulatory matters, are not limited. The Partnership reimburses the Operating Partnership an estimated monthly fee for these expenses and in the month following will settle any payable or receivable remaining for actual expenses paid on behalf of the Partnership. All significant related party transactions with the Operating Partnership have been stated on the face of the consolidated financial statements for the years ended December 31, 2025, 2024 and 2023.</w:t>
      </w:r>
    </w:p>
    <w:p>
      <w:pPr>
        <w:spacing w:after="0" w:line="2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Partnership and the Operating Partnership are involved in legal and/or administrative proceedings arising in the ordinary course of their businesses, none of which have predictable outcomes and none of which are believed to have any significant effect on consolidated financial position, cash flows, or operating results.</w:t>
      </w:r>
    </w:p>
    <w:p>
      <w:pPr>
        <w:spacing w:after="0" w:line="19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To Holders of Common Units</w:t>
      </w:r>
    </w:p>
    <w:p>
      <w:pPr>
        <w:spacing w:after="0" w:line="25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On January 22, 2026, the Partnership announced its cash distribution for the fourth quarter of 2025 of $0.755712 per common unit, representing activity for the three-month period ended December 31, 2025, payable to common unitholders on record as of February 2, 2026. This distribution was paid on February 12, 2026. The partnership agreement requires the next cash distribution to be paid by May 15, 2026.</w:t>
      </w:r>
    </w:p>
    <w:p>
      <w:pPr>
        <w:spacing w:after="0" w:line="19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third amendment to our Office Lease was executed in April 2017 for a term of 129 months, beginning June 1, 2018 and expiring in 2029. At lease commencement, the Partnership concluded the Office Lease was an operating lease. Under the third amendment to the Office Lease, monthly rental payments range from $25,000 to $30,000 and the Partnership received lease incentives of $0.7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expense for the years ended December 31, 2025, 2024 and 2023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187"/>
        </w:trPr>
        <w:tc>
          <w:tcPr>
            <w:tcW w:w="48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4"/>
        </w:trPr>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bl>
    <w:p>
      <w:pPr>
        <w:sectPr>
          <w:pgSz w:w="11900" w:h="16838" w:orient="portrait"/>
          <w:cols w:equalWidth="0" w:num="1">
            <w:col w:w="11200"/>
          </w:cols>
          <w:pgMar w:left="320" w:top="121" w:right="379" w:bottom="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20" w:type="dxa"/>
            <w:vAlign w:val="bottom"/>
            <w:gridSpan w:val="3"/>
          </w:tcPr>
          <w:p>
            <w:pPr>
              <w:ind w:left="58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(months)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9"/>
        </w:trPr>
        <w:tc>
          <w:tcPr>
            <w:tcW w:w="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09"/>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w:t>
            </w: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r>
      <w:tr>
        <w:trPr>
          <w:trHeight w:val="250"/>
        </w:trPr>
        <w:tc>
          <w:tcPr>
            <w:tcW w:w="6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5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Partnership manages its business activities on a consolidated basis and operates in a single operating and reportable segment. Operating segments are defined as components of a public entity that engages in business activities and for which discrete financial information and operating results are available and regularly reviewed by the chief operating decision maker in deciding how to allocate resources and assess performance. As disclosed in Note 1 – Business and Basis of Presentation, our business may be described as the acquisition, ownership and administration of Royalty Properties and the NPI. See Note 2 – Summary of Significant Accounting Policies for a summarization of the Partnerships revenue recognition policy.</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Partnership’s CEO has been determined to be the chief operating decision maker of the Partnership. The CEO uses Net income, as reported on our Consolidated Income Statements, to assess financial performance and allocate resources on a consolidated basis. The CEO manages and evaluates the results of the Partnership on a consolidated basis, and Net income is used to evaluate key operating decisions, such as making strategic acquisitions, determining transaction structures to capitalize on the development of the properties underlying our mineral interests, and allocating resources for general and administrative expenditures. The CEO does not review consolidated balance sheet assets when assessing segment performance and deciding how to allocate resources. Disaggregated operating revenues of the Partnership’s single segment and all significant segment expenses are presented separately on the Partnership’s Consolidated Income Statements. There are no other significant segment expenses or other segment items that would require disclosure.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Oil and Natural Gas Data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Reserve and Standardized Measure</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NPI represents a net profits overriding royalty interest burdening various properties owned by the Operating Partnership. The Royalty Properties consist of producing and nonproducing mineral, royalty, overriding royalty, net profits, and leasehold interests located in 594 counties and parishes in 28 states. Amounts set forth herein attributable to the NPI reflects our 96.97% net share. Although new activity has occurred on certain of the Royalty Properties, based on engineering studies available to date, no events have occurred since December 31, 2025 that would have a material effect on our estimated proved developed reserves.</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U.S. GAAP and Securities and Exchange Commission rules and regulations, the following information is presented with regard to the Royalty Properties and NPI oil and natural gas reserves, all of which are proved, developed, and located in the United States. These rules require inclusion as a supplement to the basic financial statements a standardized measure of discounted future net cash flows relating to proved oil and natural gas reserves. The standardized measure, in management's opinion, should be examined with caution. The basis for these disclosures are petroleum engineers’ reserve studies which contain estimates of quantities and rates of production of reserves. Revision of prior year estimates can have a significant impact on the results. Changes in production costs may result in significant revisions to previous estimates of proved reserves and their future value. Therefore, the standardized measure is not necessarily a best estimate of the fair value of oil and natural gas properties or of future net cash flows.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summaries of changes in reserves and standardized measure of discounted future net cash flows were prepared from estimates of proved reserves. The Standardized Measure of Discounted Future Net Cash Flows reflects adjustments for fuel, shrinkage, and pipeline loss.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Oil (mbbls)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Natural Gas (mmcf)</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Estimated quantity, beginning</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8,920</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35,599</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33,351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39,153</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Revisions in previous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estimates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7,921</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4,799</w:t>
            </w: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reserves in place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1,269</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5,296</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Production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(7,847)</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Estimated quantity, end of</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9,472</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11,069</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8,318</w:t>
            </w: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36,632</w:t>
            </w: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35,599</w:t>
            </w:r>
          </w:p>
        </w:tc>
        <w:tc>
          <w:tcPr>
            <w:tcW w:w="2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33,351</w:t>
            </w:r>
          </w:p>
        </w:tc>
        <w:tc>
          <w:tcPr>
            <w:tcW w:w="0" w:type="dxa"/>
            <w:vAlign w:val="bottom"/>
          </w:tcPr>
          <w:p>
            <w:pPr>
              <w:spacing w:after="0"/>
              <w:rPr>
                <w:sz w:val="1"/>
                <w:szCs w:val="1"/>
                <w:color w:val="auto"/>
              </w:rPr>
            </w:pPr>
          </w:p>
        </w:tc>
      </w:tr>
      <w:tr>
        <w:trPr>
          <w:trHeight w:val="214"/>
        </w:trPr>
        <w:tc>
          <w:tcPr>
            <w:tcW w:w="23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year</w:t>
            </w:r>
          </w:p>
        </w:tc>
        <w:tc>
          <w:tcPr>
            <w:tcW w:w="13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60" w:hanging="4"/>
        <w:spacing w:after="0" w:line="282" w:lineRule="auto"/>
        <w:tabs>
          <w:tab w:leader="none" w:pos="9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Partnership acquired mineral interests representing approximately 3,050 net royalty acres in Adams County, Colorado. The acquisition represented 506 mbbls and 1,269 mmcf of 2025 purchases of minerals in place.</w:t>
      </w:r>
    </w:p>
    <w:p>
      <w:pPr>
        <w:spacing w:after="0" w:line="162"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During 2024, the Partnership acquired mineral, royalty, and overriding royalty interests representing approximately 16,914 net royalty acres in 16 counties across three states. The acquisitions represented 2,429 mbbls and 5,296 mmcf of 2024 purchases of minerals in place.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During 2023, the Partnership acquired mineral and royalty interests representing approximately 2,184 net royalty acres in 16 counties and parishes across three states. The acquisitions represented 374 mbbls and 743 mmcf of 2023 purchases of minerals in place.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Oil and Natural Gas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Standardized Measure of Discounted Future Net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estimated gross revenues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547,822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667,840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559,865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Future estimated production costs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(34,747)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(35,026)</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estimated net revenues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513,075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524,839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10% annual discount for estimated timing of cash flows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(235,255)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(291,958)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(252,761)</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estimated net cash flows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277,820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332,406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272,078</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Sales of oil and natural gas produced, net of production costs</w:t>
            </w:r>
          </w:p>
        </w:tc>
        <w:tc>
          <w:tcPr>
            <w:tcW w:w="4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(125,895)</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(146,050)</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(137,015)</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(37,190)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(122,884)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change due to purchase of minerals in place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15,656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52,949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109,971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54,220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33,241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41,915</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production rate and other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6,653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6,876</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standardized measure of discounted future estimated net cash flows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(54,586)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60,328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(147,075)</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Depletion of oil and natural gas properties (dollars per mcfe)</w:t>
            </w:r>
          </w:p>
        </w:tc>
        <w:tc>
          <w:tcPr>
            <w:tcW w:w="4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2.78</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18,093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220,389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34,084</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oil price per barrel (1)(2)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66.04</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Average natural gas price per mcf (1)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79" w:lineRule="exact"/>
        <w:rPr>
          <w:sz w:val="20"/>
          <w:szCs w:val="20"/>
          <w:color w:val="auto"/>
        </w:rPr>
      </w:pPr>
    </w:p>
    <w:p>
      <w:pPr>
        <w:ind w:left="340" w:right="46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Royalty and NPI prices combined by volumetric proportions and represents the 12-month unweighted average of first-day-of-the-month commodity prices for the periods presented with adjustments for basin differentials.</w:t>
      </w: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oil and natural gas liquids prices combined by volumetric proportions.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orchester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inerals</w:t>
      </w:r>
      <w:r>
        <w:rPr>
          <w:rFonts w:ascii="Times New Roman" w:cs="Times New Roman" w:eastAsia="Times New Roman" w:hAnsi="Times New Roman"/>
          <w:sz w:val="18"/>
          <w:szCs w:val="18"/>
          <w:b w:val="1"/>
          <w:bCs w:val="1"/>
          <w:color w:val="auto"/>
        </w:rPr>
        <w: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describes the standards of Dorchester Minerals, L.P. and its subsidiaries and affiliates under common control (collectively,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on trading, and causing the trading of, the Partnership’s securities or securities of certain other publicly traded companies while in possession of confidential information. This Policy is divided into two parts: the first part prohibits trading in certain circumstances and applies to all managers, officers, consultants and employees and their respective immediate family members of the Partnership, and the second part imposes special additional trading restrictions and applies to all (i) managers of the Partnership, (ii) executive officers of the Partnership (together with the managers, “</w:t>
      </w:r>
      <w:r>
        <w:rPr>
          <w:rFonts w:ascii="Times New Roman" w:cs="Times New Roman" w:eastAsia="Times New Roman" w:hAnsi="Times New Roman"/>
          <w:sz w:val="18"/>
          <w:szCs w:val="18"/>
          <w:b w:val="1"/>
          <w:bCs w:val="1"/>
          <w:color w:val="auto"/>
        </w:rPr>
        <w:t>Partnership Insiders</w:t>
      </w:r>
      <w:r>
        <w:rPr>
          <w:rFonts w:ascii="Times New Roman" w:cs="Times New Roman" w:eastAsia="Times New Roman" w:hAnsi="Times New Roman"/>
          <w:sz w:val="18"/>
          <w:szCs w:val="18"/>
          <w:color w:val="auto"/>
        </w:rPr>
        <w:t xml:space="preserve">”), (iii) the employees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and (iv) certain other employees that the Partnership may designate from time to time as “Covered Persons” because of their position, responsibilities or their actual or potential access to material information.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One of the principal purposes of the federal securities laws is to prohibit so-called “insider trading.” Simply stated, insider trading occurs when a person uses material nonpublic information obtained through involvement with the Partnership to make decisions to purchase, sell, give away or otherwise trade the Partnership’s securities or the securities of certain other companies or to provide that information to others outside the Partnership. The prohibitions against insider trading apply to trades, tips and recommendations by virtually any person, including all persons associated with the Partnership, if the information involved is “material” and “nonpublic.” These terms are defined in this Policy under Part I, Section 3 below. The prohibitions would apply to any manager, officer or employee who buys or sells securities on the basis of material nonpublic information that he or she obtained about the Partnership, its customers, suppliers, partners, competitors or other companies with which the Partnership has contractual relationships or may be negotiating transactions.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Policy applies to all trading or other transactions in (i) the Partnership’s securities, including common units and any other securities that the Partnership may issue, such as options, warrants, notes, bonds and convertible securities, as well as to derivative securities relating to any of the Partnership’s securities, whether or not issued by the Partnership and (ii) the securities of other companies (1) with which the Partnership does business, such as the Partnership’s vendors, customers and suppliers, or (2) that are involved in a potential transaction or business relationship with the Partnership, where the person trading used information obtained from his/her employment or relationship with the Partnership (including such other companies’ common units, common stock, options and other securities issued by those companies we well as derivative securities relating to any of those companies’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Policy applies to all employees and officers of the Partnership and to all members of the Partnership’s board of managers and their respective family members. This Policy also applies to all consultants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Policy: No Trading or Causing Trading While in Possession of Material Nonpublic Information</w:t>
      </w:r>
    </w:p>
    <w:p>
      <w:pPr>
        <w:spacing w:after="0" w:line="22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manager, officer or employee or any of their immediate family members or consultant may purchase or sell, or offer to purchase or sell, any Partnership security, whether or not issued by the Partnership, while in possession of material nonpublic information about the Partnership. (The terms “material” and “nonpublic” are defined in Part I, Section 3(a) and (b) below.)</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manager, officer or employee or any of their immediate family members or consultant who knows of any material nonpublic information about the Partnership may communicate that information to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any other person, including family members and friends, or otherwise disclose such information without the Partnership’s authorization.</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manager, officer or employee or any of their immediate family members or consultant may purchase or sell any security of any other Partnership (1) with which the Partnership does business, such as the Partnership’s vendors, customers and suppliers, or (2) that is involved in a potential transaction or business relationship with the Partnership, where the person trading while in possession of material nonpublic information obtained such information from his/her employment or relationship with the Partnership. No manager, officer or employee or any of their immediate family members or consultant who knows of any such material nonpublic information may communicate that information to, or tip, any other person, including family members and friends, or otherwise disclose such information without the Partnership’s authorization.</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w:t>
      </w:r>
    </w:p>
    <w:p>
      <w:pPr>
        <w:spacing w:after="0" w:line="175"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must “pre-clear” all trading in securities of the Partnership in accordance with the procedures set forth in Part II, Section 3 below.</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2" w:lineRule="auto"/>
        <w:tabs>
          <w:tab w:leader="none" w:pos="9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restrictions come into play only if the information you possess is “material.” Materiality, however, involves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80" w:lineRule="exact"/>
        <w:rPr>
          <w:rFonts w:ascii="Times New Roman" w:cs="Times New Roman" w:eastAsia="Times New Roman" w:hAnsi="Times New Roman"/>
          <w:sz w:val="18"/>
          <w:szCs w:val="18"/>
          <w:color w:val="auto"/>
        </w:rPr>
      </w:pPr>
    </w:p>
    <w:p>
      <w:pPr>
        <w:ind w:left="9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dealing with the following subjects is reasonably likely to be found material in particular situations:</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Partnership’s prospects;</w:t>
      </w:r>
    </w:p>
    <w:p>
      <w:pPr>
        <w:spacing w:after="0" w:line="252"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in reserves;</w:t>
      </w:r>
    </w:p>
    <w:p>
      <w:pPr>
        <w:spacing w:after="0" w:line="252"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significant litigation or government agency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73" w:name="page74"/>
    <w:bookmarkEnd w:id="73"/>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unusual gains or losses in major operations;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the Partnership’s management or the board of managers;</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(vii)changes in distributions;</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(viii)major changes in accounting methods or policies;</w:t>
      </w:r>
    </w:p>
    <w:p>
      <w:pPr>
        <w:spacing w:after="0" w:line="252"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or loss of a significant contract;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divestitures, recapitalizations, strategic alliances, licensing arrangements, or purchases or sales of substantial assets;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(xii)offerings of Partnership securities.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Partnership’s operations or unit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18"/>
          <w:szCs w:val="18"/>
          <w:b w:val="1"/>
          <w:bCs w:val="1"/>
          <w:color w:val="auto"/>
        </w:rPr>
        <w:t>If you are unsure whether information is material, you should either consult the Compliance Officer before making any decision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disclose such information (other than to persons who need to know it) or to trade in or recommend securities to which that information relates or assume that the information is material.</w:t>
      </w:r>
    </w:p>
    <w:p>
      <w:pPr>
        <w:spacing w:after="0" w:line="188" w:lineRule="exact"/>
        <w:rPr>
          <w:sz w:val="20"/>
          <w:szCs w:val="20"/>
          <w:color w:val="auto"/>
        </w:rPr>
      </w:pPr>
    </w:p>
    <w:p>
      <w:pPr>
        <w:jc w:val="both"/>
        <w:ind w:left="980" w:hanging="324"/>
        <w:spacing w:after="0" w:line="259"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prohibitions come into play only when you possess information that is material and “nonpublic.” The fact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Partnership, you must wait until the close of business on the second trading day after the information was publicly disclosed before you can treat the information as public.</w:t>
      </w:r>
    </w:p>
    <w:p>
      <w:pPr>
        <w:spacing w:after="0" w:line="18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Nonpublic information may include: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to a select group of analysts or brokers or institutional investors;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rumors, even if the rumors are widely circulated; and</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entrusted to the Partnership on a confidential basis until a public announcement of the information has been made and enough time has elapsed for the market to respond to a public announcement of the information (normally two trading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55" w:lineRule="exact"/>
        <w:rPr>
          <w:sz w:val="20"/>
          <w:szCs w:val="20"/>
          <w:color w:val="auto"/>
        </w:rPr>
      </w:pPr>
    </w:p>
    <w:p>
      <w:pPr>
        <w:ind w:left="980" w:right="20" w:hanging="324"/>
        <w:spacing w:after="0" w:line="28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Partnership has appointed the Chief Financial Officer as the Compliance Officer for this Policy. The duties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include, but are not limited to, the following:</w:t>
      </w:r>
    </w:p>
    <w:p>
      <w:pPr>
        <w:spacing w:after="0" w:line="15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implementation and enforcement of this Policy;</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circulating this Policy to all employees and ensuring that this Policy is amended as necessary to remain up-to-date with insider trading laws;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pre-clearing all trading in securities of the Partnership by Covered Persons in accordance with the procedures set forth in Part II, Section 3 below;</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approval of any Rule 10b5-1 plans under Part II, Section 1(c) below and any prohibited transactions under Part II, Section 4 below;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reporting system with an effective whistleblower protection mechanism.</w:t>
      </w:r>
    </w:p>
    <w:p>
      <w:pPr>
        <w:spacing w:after="0" w:line="24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Exceptions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restrictions of this Policy do not apply to the following:</w:t>
      </w:r>
    </w:p>
    <w:p>
      <w:pPr>
        <w:spacing w:after="0" w:line="221"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 401(k)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Investing 401(k) plan contributions in a Partnership stock fund in accordance with the terms of the Partnership’s 401(k)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any changes in your investment election regarding the Partnership’s securities are subject to trading restrictions under this Policy.</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 Incentive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Purchasing Partnership securities through periodic, automatic payroll contributions to any Partnership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program. However, electing to enroll in any Partnership equity incentive program, making any changes in your elections under such Partnership equity incentive program and selling any Partnership securities acquired under any Partnership equity incentive program are subject to trading restrictions under this Policy.</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Violations of Insider Trading Laws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for trading on or communicating material nonpublic information can be severe, both for individuals involved in such unlawful conduct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and their employers and supervisors, and may include jail terms, criminal fines, civil penalties and civil enforcement injunctions. Given the severity of the potential penalties, compliance with this Policy is absolutely mandatory.</w:t>
      </w:r>
    </w:p>
    <w:p>
      <w:pPr>
        <w:spacing w:after="0" w:line="177" w:lineRule="exact"/>
        <w:rPr>
          <w:sz w:val="20"/>
          <w:szCs w:val="20"/>
          <w:color w:val="auto"/>
        </w:rPr>
      </w:pPr>
    </w:p>
    <w:p>
      <w:pPr>
        <w:jc w:val="both"/>
        <w:ind w:left="980" w:hanging="324"/>
        <w:spacing w:after="0" w:line="268"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Legal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person who violates insider trading laws by engaging in transactions in a Partnership’s securities when he or she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can be sentenced to a substantial jail term and required to pay a criminal penalty of several times the amount of profits gained or losses avoided.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addition, a person who tips others may also be liable for transactions by the tippees to whom he or she has disclosed material nonpublic information. Tippers can be subject to the same penalties and sanctions as the tippees, and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has imposed large penalties even when the tipper did not profit from the transaction.</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SEC can also seek substantial civil penalties from any person who, at the time of an insider trading violation, “directly or indirectly controlled the person who committed such violation,” which would apply to the Partnership and/or management and supervisory personnel. These control persons may be held liable for up to the greater of $2,301,065 or three times the amount of the profits gained or losses avoided. Even for violations that result in a small or no profit, the SEC can seek penalties from the Partnership and/or its management and supervisory personnel as control persons.</w:t>
      </w:r>
    </w:p>
    <w:p>
      <w:pPr>
        <w:spacing w:after="0" w:line="179" w:lineRule="exact"/>
        <w:rPr>
          <w:sz w:val="20"/>
          <w:szCs w:val="20"/>
          <w:color w:val="auto"/>
        </w:rPr>
      </w:pPr>
    </w:p>
    <w:p>
      <w:pPr>
        <w:jc w:val="both"/>
        <w:ind w:left="980" w:hanging="324"/>
        <w:spacing w:after="0" w:line="268"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Partnership-Imposed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who violate this Policy may be subject to disciplinary action by the Partnership,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dismissal for cause. Any exceptions to the Policy, if permitted, may only be granted by the Compliance Officer and must be provided before any activity contrary to the above requirements takes place.</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Inquiries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regarding any of the provisions of this Policy, please contact the Compliance Officer at (214) 217-6203.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Blackout Periods</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Covered Persons are prohibited from trading in the Partnership’s securities during blackout periods as defined below.</w:t>
      </w:r>
    </w:p>
    <w:p>
      <w:pPr>
        <w:spacing w:after="0" w:line="221"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Quarterly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in the Partnership’s securities is prohibited during the period beginning at the close of the market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weeks before the end of each fiscal quarter and ending at the close of business on the second trading day following the date the Partnership’s financial results are publicly disclosed and Form 10-Q or Form 10-K is filed. During these periods, Covered Persons generally possess or are presumed to possess material nonpublic information about the Partnership’s financial results.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other types of material nonpublic information regarding the Partnership (such as negotiation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mergers, acquisitions or dispositions, investigation and assessment of cybersecurity incidents or new commercial developments) may be pending and not be publicly disclosed. While such material nonpublic information is pending, the Partnership may impose special blackout periods during which Covered Persons are prohibited from trading in the Partnership’s securities. If the Partnership imposes a special blackout period, it will notify the Covered Persons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ind w:left="980" w:hanging="324"/>
        <w:spacing w:after="0" w:line="268"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Exception.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trading restrictions do not apply to transactions under a pre-existing written plan, contract, instruction, or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Rule 10b5-1 under the Securities Exchange Act of 1934, as amended (an “</w:t>
      </w:r>
      <w:r>
        <w:rPr>
          <w:rFonts w:ascii="Times New Roman" w:cs="Times New Roman" w:eastAsia="Times New Roman" w:hAnsi="Times New Roman"/>
          <w:sz w:val="18"/>
          <w:szCs w:val="18"/>
          <w:b w:val="1"/>
          <w:bCs w:val="1"/>
          <w:color w:val="auto"/>
        </w:rPr>
        <w:t>Approved 10b5-1 Plan</w:t>
      </w:r>
      <w:r>
        <w:rPr>
          <w:rFonts w:ascii="Times New Roman" w:cs="Times New Roman" w:eastAsia="Times New Roman" w:hAnsi="Times New Roman"/>
          <w:sz w:val="18"/>
          <w:szCs w:val="18"/>
          <w:color w:val="auto"/>
        </w:rPr>
        <w:t>”), that meet the following requirements:</w:t>
      </w:r>
    </w:p>
    <w:p>
      <w:pPr>
        <w:spacing w:after="0" w:line="17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that no trades may occur thereunder until expiration of the applicable cooling-off period specified in Rule 10b5-1(c)(ii)(B), and no trades occur until after that time. The appropriate cooling-off period will vary based on the status of the Covered Person. For managers and officers, the cooling-off period ends on the later of (x) ninety days after adoption or certain modifications of the 10b5-1 plan; or (y) two business days following disclosure of the Partnership’s financial results in a Form 10-Q or Form 10-K for the quarter in which the 10b5-1 plan was adopted. For all other Covered Persons, the cooling-off period ends 30 days after adoption or modification of the 10b5-1 plan. This required cooling-off period will apply to the entry into a new 10b5-1 plan and any revision or modification of a 10b5-1 plan;</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entered into in good faith by the Covered Person, and not as part of a plan or scheme to evade the prohibitions of Rule 10b5-1, at a time when the Covered Person is not in possession of material nonpublic information about the Partnership; and, if the Covered Person is a manager or officer, the 10b5-1 plan must include representations by the Covered Person certifying to that effect;</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gives a third party the discretionary authority to execute such purchases and sales, outside the control of the Covered Person, so long as such third party does not possess any material nonpublic information about the Partnership; or explicitly specifies the security or securities to be purchased or sold, the number of shares, the prices and/or dates of transactions, or other formula(s) describing such transactions; and</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only outstanding Approved 10b5-1 Plan entered into by the Covered Person (subject to the exceptions set out in Rule 10b5-1(c) (ii)(D)).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Approved 10b5-1 Plan may be adopted during a blackout period.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considering entering into, modifying or terminating an Approved 10b5-1 Plan or have any questions regarding Approved Rule 10b5-1 Plans, please contact the Compliance Officer at (214) 217-6203.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w:t>
      </w:r>
    </w:p>
    <w:p>
      <w:pPr>
        <w:spacing w:after="0" w:line="176"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Trading Window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Covered Persons are permitted to trade in the Partnership’s securities when no blackout period is in effect. Generally, this means that Covered Persons can trade during the period beginning at the close of the market on the second trading day following the date the Partnership’s financial results are publicly disclosed and Form 10-Q or Form 10-K is filed and ending at the close of the market on two weeks before the end of next fiscal quarter. However, even during this trading window, a Covered Person who is in possession of any material nonpublic information should not trade in the Partnership’s securities until the information has been made publicly available or is no longer material. In addition, the Partnership may close this trading window if a special blackout period under Part II, Section 1(b) above is imposed and will re-open the trading window once the special blackout period has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ind w:left="652" w:hanging="652"/>
        <w:spacing w:after="0"/>
        <w:tabs>
          <w:tab w:leader="none" w:pos="6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Pre-Clearance of Securities Transactions</w:t>
      </w:r>
    </w:p>
    <w:p>
      <w:pPr>
        <w:spacing w:after="0" w:line="22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Partnership Insiders are likely to obtain material nonpublic information on a regular basis, the Partnership requires all such persons to refrain from trading, even during a trading window under Part II, Section 2 above, without first pre-clearing all transactions in the Partnership’s securities.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exemption in subsection (d) below, no Partnership Insider may, directly or indirectly, purchase or sell (or otherwise make any transfer, gift, pledge or loan of) any Partnership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spacing w:after="0" w:line="179" w:lineRule="exact"/>
        <w:rPr>
          <w:rFonts w:ascii="Times New Roman" w:cs="Times New Roman" w:eastAsia="Times New Roman" w:hAnsi="Times New Roman"/>
          <w:sz w:val="18"/>
          <w:szCs w:val="18"/>
          <w:color w:val="auto"/>
        </w:rPr>
      </w:pPr>
    </w:p>
    <w:p>
      <w:pPr>
        <w:jc w:val="both"/>
        <w:ind w:left="972" w:right="20" w:hanging="324"/>
        <w:spacing w:after="0" w:line="266" w:lineRule="auto"/>
        <w:tabs>
          <w:tab w:leader="none" w:pos="9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is not required for purchases and sales of securities under an Approved 10b5-1 Plan once the applicable cooling-off period has expired. No trades may be made under an Approved 10b5-1 Plan until expiration of the applicable cooling-off period. With respect to any purchase or sale under an Approved 10b5-1 Plan, the third party effecting transactions on behalf of the Partnership Insider should be instructed to send duplicate confirmations of all such transactions to the Compliance Officer.</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29"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Insiders are prohibited from trading in the Partnership’s equity securities during a blackout period imposed under an “individual account” retirement or pension plan of the Partnership, during which at least 50% of the plan participants are unable to purchase, sell or otherwise acquire or transfer an interest in equity securities of the Partnership, due to a temporary suspension of trading by the Partnership or the plan fiduciary.</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including any person’s spouse, other persons living in such person’s household and minor children and entities over which such person exercises control, are prohibited from engaging in the following transactions in the Partnership’s securities unless advance approval is obtained from the Compliance Officer:</w:t>
      </w:r>
    </w:p>
    <w:p>
      <w:pPr>
        <w:spacing w:after="0" w:line="175" w:lineRule="exact"/>
        <w:rPr>
          <w:rFonts w:ascii="Times New Roman" w:cs="Times New Roman" w:eastAsia="Times New Roman" w:hAnsi="Times New Roman"/>
          <w:sz w:val="18"/>
          <w:szCs w:val="18"/>
          <w:color w:val="auto"/>
        </w:rPr>
      </w:pPr>
    </w:p>
    <w:p>
      <w:pPr>
        <w:ind w:left="1292" w:right="20" w:hanging="320"/>
        <w:spacing w:after="0" w:line="282" w:lineRule="auto"/>
        <w:tabs>
          <w:tab w:leader="none" w:pos="129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Partnership Insiders who purchase Partnership securities may not sell any Partnership securities of the same class for at least six months after the purchase;</w:t>
      </w:r>
    </w:p>
    <w:p>
      <w:pPr>
        <w:spacing w:after="0" w:line="161"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Covered Persons may not sell the Partnership’s securities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78" w:name="page79"/>
    <w:bookmarkEnd w:id="78"/>
    <w:p>
      <w:pPr>
        <w:ind w:left="1300" w:hanging="320"/>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trading.</w:t>
      </w:r>
      <w:r>
        <w:rPr>
          <w:rFonts w:ascii="Times New Roman" w:cs="Times New Roman" w:eastAsia="Times New Roman" w:hAnsi="Times New Roman"/>
          <w:sz w:val="18"/>
          <w:szCs w:val="18"/>
          <w:color w:val="auto"/>
        </w:rPr>
        <w:t xml:space="preserve"> Covered Persons may not buy or sell puts or calls or other derivative securities on the Partnership’s securities;</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on margin or pledging.</w:t>
      </w:r>
      <w:r>
        <w:rPr>
          <w:rFonts w:ascii="Times New Roman" w:cs="Times New Roman" w:eastAsia="Times New Roman" w:hAnsi="Times New Roman"/>
          <w:sz w:val="18"/>
          <w:szCs w:val="18"/>
          <w:color w:val="auto"/>
        </w:rPr>
        <w:t xml:space="preserve"> Covered Persons may not hold Partnership securities in a margin account or pledge Partnership securities as collateral for a loan;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w:t>
      </w:r>
      <w:r>
        <w:rPr>
          <w:rFonts w:ascii="Times New Roman" w:cs="Times New Roman" w:eastAsia="Times New Roman" w:hAnsi="Times New Roman"/>
          <w:sz w:val="18"/>
          <w:szCs w:val="18"/>
          <w:color w:val="auto"/>
        </w:rPr>
        <w:t xml:space="preserve"> Covered Persons may not enter into hedging or monetization transactions or similar arrangements with respect to Partnership securities.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 and 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Covered Persons are required to sign the attached acknowledgment and certification.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ACKNOWLEDGMENT AND 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does hereby acknowledge receipt of Dorchester Minerals, L.P.’s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200" w:lineRule="exact"/>
        <w:rPr>
          <w:sz w:val="20"/>
          <w:szCs w:val="20"/>
          <w:color w:val="auto"/>
        </w:rPr>
      </w:pP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28460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2846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2143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4126"/>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29" w:lineRule="exact"/>
        <w:rPr>
          <w:sz w:val="20"/>
          <w:szCs w:val="20"/>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Dorchester Minerals Oklahoma LP, an Oklahoma limited partnership</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Dorchester Minerals Oklahoma GP, Inc., an Oklahoma corporation</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Maecenas Minerals LLP, a Texas limited liability partnership</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Dorchester-Maecenas GP LLC, a Texas limited liability company</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Buffalo Co., A Limited Partnership, an Oklahoma limited partnership</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DMLPTBC GP LLC, a Delaware limited liability company</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DMLP Terra Firma LLC, a Delaware limited liability company</w:t>
      </w:r>
    </w:p>
    <w:p>
      <w:pPr>
        <w:sectPr>
          <w:pgSz w:w="11900" w:h="16838" w:orient="portrait"/>
          <w:cols w:equalWidth="0" w:num="1">
            <w:col w:w="10746"/>
          </w:cols>
          <w:pgMar w:left="814"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have issued our reports dated February 24, 2026, with respect to the consolidated financial statements and internal control over financial reporting included in the Annual Report of Dorchester Minerals, L.P. on Form 10-K for the year ended December 31, 2025. We consent to the incorporation by reference of said reports in the Registration Statements of Dorchester Minerals, L.P. on Forms S-4 (File No. 333-256021 and File No. 333-285714).</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71245" cy="5829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10712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3838 Oak Lawn Avenue,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75219-4541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LaRoche Petroleum Consultants, Ltd. does hereby consent to the incorporation by reference in the Registration Statements on Forms S-4 (No. 333-256021 and No. 333-285714) of Dorchester Minerals, L.P. of our estimated reserves included in the Annual Report dated February 24, 2026, for the year ended December 31, 2025, on Form 10-K including, without limitation, Exhibit 99.1 and 99.2, and to references to our firm included in this Annual Report.</w:t>
      </w:r>
    </w:p>
    <w:p>
      <w:pPr>
        <w:spacing w:after="0" w:line="37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LAROCHE PETROLEUM CONSULTANTS, LTD.</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LPC, Inc. General Partner</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Joe A. Young</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Joe A. Young,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850 Central Parkway East, Suite 160 ● Plano, Texas 75074</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Phone (214) 363-3337 ● Fax (214) 363-1608</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Ehrman,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Dorchester Minerals, L.P.;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jc w:val="right"/>
        <w:ind w:right="4080"/>
        <w:spacing w:after="0"/>
        <w:rPr>
          <w:sz w:val="20"/>
          <w:szCs w:val="20"/>
          <w:color w:val="auto"/>
        </w:rPr>
      </w:pPr>
      <w:r>
        <w:rPr>
          <w:rFonts w:ascii="Times New Roman" w:cs="Times New Roman" w:eastAsia="Times New Roman" w:hAnsi="Times New Roman"/>
          <w:sz w:val="18"/>
          <w:szCs w:val="18"/>
          <w:color w:val="auto"/>
        </w:rPr>
        <w:t>/s/ Bradley 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jc w:val="right"/>
        <w:ind w:right="4080"/>
        <w:spacing w:after="0"/>
        <w:rPr>
          <w:sz w:val="20"/>
          <w:szCs w:val="20"/>
          <w:color w:val="auto"/>
        </w:rPr>
      </w:pPr>
      <w:r>
        <w:rPr>
          <w:rFonts w:ascii="Times New Roman" w:cs="Times New Roman" w:eastAsia="Times New Roman" w:hAnsi="Times New Roman"/>
          <w:sz w:val="18"/>
          <w:szCs w:val="18"/>
          <w:color w:val="auto"/>
        </w:rPr>
        <w:t>Bradley Ehrman</w:t>
      </w:r>
    </w:p>
    <w:p>
      <w:pPr>
        <w:spacing w:after="0" w:line="23" w:lineRule="exact"/>
        <w:rPr>
          <w:sz w:val="20"/>
          <w:szCs w:val="20"/>
          <w:color w:val="auto"/>
        </w:rPr>
      </w:pPr>
    </w:p>
    <w:p>
      <w:pPr>
        <w:ind w:left="5980" w:right="3340" w:hanging="5966"/>
        <w:spacing w:after="0" w:line="290" w:lineRule="auto"/>
        <w:tabs>
          <w:tab w:leader="none" w:pos="59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7"/>
          <w:szCs w:val="17"/>
          <w:color w:val="auto"/>
        </w:rPr>
        <w:t>Chief Executive Officer of Dorchester Minerals, L.P.</w:t>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Moriyama,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Dorchester Minerals, L.P.;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/s/ Leslie Moriyama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Leslie Moriyama</w:t>
      </w:r>
    </w:p>
    <w:p>
      <w:pPr>
        <w:spacing w:after="0" w:line="23" w:lineRule="exact"/>
        <w:rPr>
          <w:sz w:val="20"/>
          <w:szCs w:val="20"/>
          <w:color w:val="auto"/>
        </w:rPr>
      </w:pPr>
    </w:p>
    <w:p>
      <w:pPr>
        <w:jc w:val="right"/>
        <w:ind w:right="3400"/>
        <w:spacing w:after="0" w:line="250" w:lineRule="auto"/>
        <w:rPr>
          <w:sz w:val="20"/>
          <w:szCs w:val="20"/>
          <w:color w:val="auto"/>
        </w:rPr>
      </w:pPr>
      <w:r>
        <w:rPr>
          <w:rFonts w:ascii="Times New Roman" w:cs="Times New Roman" w:eastAsia="Times New Roman" w:hAnsi="Times New Roman"/>
          <w:sz w:val="18"/>
          <w:szCs w:val="18"/>
          <w:color w:val="auto"/>
        </w:rPr>
        <w:t>Date: February 24, 2026                                              Chief Financial Officer of Dorchester Minerals, L.P.</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ind w:right="180" w:firstLine="396"/>
        <w:spacing w:after="0" w:line="282" w:lineRule="auto"/>
        <w:rPr>
          <w:sz w:val="20"/>
          <w:szCs w:val="20"/>
          <w:color w:val="auto"/>
        </w:rPr>
      </w:pPr>
      <w:r>
        <w:rPr>
          <w:rFonts w:ascii="Times New Roman" w:cs="Times New Roman" w:eastAsia="Times New Roman" w:hAnsi="Times New Roman"/>
          <w:sz w:val="18"/>
          <w:szCs w:val="18"/>
          <w:color w:val="auto"/>
        </w:rPr>
        <w:t>In connection with the accompanying Annual Report of Dorchester Minerals, L.P. (the "Partnership") on Form 10-K for the period ended December 31, 2025 (the "Report”), each of the undersigned officers of the Partnership hereby certifies that:</w:t>
      </w:r>
    </w:p>
    <w:p>
      <w:pPr>
        <w:spacing w:after="0" w:line="162" w:lineRule="exact"/>
        <w:rPr>
          <w:sz w:val="20"/>
          <w:szCs w:val="20"/>
          <w:color w:val="auto"/>
        </w:rPr>
      </w:pPr>
    </w:p>
    <w:p>
      <w:pPr>
        <w:ind w:left="500" w:hanging="330"/>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 Bradley Ehrman</w:t>
            </w:r>
          </w:p>
        </w:tc>
      </w:tr>
      <w:tr>
        <w:trPr>
          <w:trHeight w:val="191"/>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Bradley Ehrman</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2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64"/>
        </w:trPr>
        <w:tc>
          <w:tcPr>
            <w:tcW w:w="3760" w:type="dxa"/>
            <w:vAlign w:val="bottom"/>
          </w:tcPr>
          <w:p>
            <w:pPr>
              <w:spacing w:after="0"/>
              <w:rPr>
                <w:sz w:val="24"/>
                <w:szCs w:val="24"/>
                <w:color w:val="auto"/>
              </w:rPr>
            </w:pPr>
          </w:p>
        </w:tc>
        <w:tc>
          <w:tcPr>
            <w:tcW w:w="7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 Leslie Moriyama</w:t>
            </w:r>
          </w:p>
        </w:tc>
      </w:tr>
      <w:tr>
        <w:trPr>
          <w:trHeight w:val="191"/>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Moriyama</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2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85" w:name="page86"/>
    <w:bookmarkEnd w:id="85"/>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February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 Purpose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Clawback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has been adopted by the Board of Managers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Dorchester Minerals Management GP LLC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the general partner of Dorchester Minerals, L.P.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effective as of [●], 2025.</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Policy is designed to comply with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with Nasdaq Listing Rule 5608 and provides for the recoupment of certain Incentive Compensation (as defined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 Administration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administered by the Board or, if so designated by the Board, the Independent Managers (as defined below), in which case references herein to the Board shall be deemed references to the Independent Managers.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this Policy, the Board shall make such determinations and interpretations and take such actions in connection with this Policy as it deems necessary or advisable. All determinations and interpretations made by the Board shall be final, binding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 Definitions</w:t>
      </w:r>
    </w:p>
    <w:p>
      <w:pPr>
        <w:spacing w:after="0" w:line="229" w:lineRule="exact"/>
        <w:rPr>
          <w:sz w:val="20"/>
          <w:szCs w:val="20"/>
          <w:color w:val="auto"/>
        </w:rPr>
      </w:pPr>
    </w:p>
    <w:p>
      <w:pPr>
        <w:jc w:val="both"/>
        <w:ind w:left="500" w:hanging="330"/>
        <w:spacing w:after="0" w:line="261"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means a restatement of the Partnership’s financial statements due to material noncompliance of the Partnership with any financial reporting requirement under applicable securities laws, including: (A) a restatement to correct a material error in a previously issued financial statement; or (B) a restatement to correct an immaterial error from a previously issued financial statement would result in a material misstatement in the current-period financial statement.</w:t>
      </w:r>
    </w:p>
    <w:p>
      <w:pPr>
        <w:spacing w:after="0" w:line="179"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any current and former Executive Officers, and such other senior executives who may from time to time be deemed subject to the Policy by the Board or Independent Managers.</w:t>
      </w:r>
    </w:p>
    <w:p>
      <w:pPr>
        <w:spacing w:after="0" w:line="16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Incentive Compensation</w:t>
      </w:r>
      <w:r>
        <w:rPr>
          <w:rFonts w:ascii="Times New Roman" w:cs="Times New Roman" w:eastAsia="Times New Roman" w:hAnsi="Times New Roman"/>
          <w:sz w:val="18"/>
          <w:szCs w:val="18"/>
          <w:color w:val="auto"/>
        </w:rPr>
        <w:t>” means the amount of Incentive Compensation received by the Covered Employee that exceeds the amount of Incentive Compensation that would have otherwise been received by the Covered Employee had it been determined based on the results of the Accounting Restatement, computed without regard to any taxes paid.</w:t>
      </w:r>
    </w:p>
    <w:p>
      <w:pPr>
        <w:spacing w:after="0" w:line="17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shall have the meaning set forth in Nasdaq Listing Rule 5608(d).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both"/>
        <w:ind w:left="500" w:hanging="330"/>
        <w:spacing w:after="0" w:line="261"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are measures that are determined and presented in accordance with the accounting principles used in preparing the Partnership’s financial statements, whether presented in or outside of the Partnership’s financial statements, any measure derived wholly or in part from such measures (including non-GAAP measures and other measures, metrics, and ratios that are non-GAAP measures). Stock price and total shareholder return are also financial reporting measures.</w:t>
      </w:r>
    </w:p>
    <w:p>
      <w:pPr>
        <w:spacing w:after="0" w:line="179"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means any compensation including, but not limited to: (i) annual bonuses and other short-term and long-term cash incentives; (ii) stock options; (iii) stock appreciation rights; (iv) restricted stock; (v) restricted stock units; (vi) performance shares; and (vii) performance units, in each case, that is granted, earned, or vested based wholly or in part on the attainment of any of the Financial Reporting Measures.</w:t>
      </w:r>
    </w:p>
    <w:p>
      <w:pPr>
        <w:spacing w:after="0" w:line="17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Managers</w:t>
      </w:r>
      <w:r>
        <w:rPr>
          <w:rFonts w:ascii="Times New Roman" w:cs="Times New Roman" w:eastAsia="Times New Roman" w:hAnsi="Times New Roman"/>
          <w:sz w:val="18"/>
          <w:szCs w:val="18"/>
          <w:color w:val="auto"/>
        </w:rPr>
        <w:t>” means a majority of the independent managers serving on the Board.</w:t>
      </w:r>
    </w:p>
    <w:p>
      <w:pPr>
        <w:spacing w:after="0" w:line="252"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Period</w:t>
      </w:r>
      <w:r>
        <w:rPr>
          <w:rFonts w:ascii="Times New Roman" w:cs="Times New Roman" w:eastAsia="Times New Roman" w:hAnsi="Times New Roman"/>
          <w:sz w:val="18"/>
          <w:szCs w:val="18"/>
          <w:color w:val="auto"/>
        </w:rPr>
        <w:t xml:space="preserve">” means the three (3) completed fiscal years immediately preceding the Required Accounting Restatement Date. In addition, the Recovery Period shall include any transition period (that results from a change in the Partnership’s fiscal year) within or immediately following the aforementioned three (3) completed fiscal years;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transition period between the last day of the Partnership’s previous fiscal year end and the first of its new fiscal year that comprises a period of nine (9) to twelve (12) months would be deemed a completed fiscal year.</w:t>
      </w:r>
    </w:p>
    <w:p>
      <w:pPr>
        <w:spacing w:after="0" w:line="179"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Accounting Restatement Date</w:t>
      </w:r>
      <w:r>
        <w:rPr>
          <w:rFonts w:ascii="Times New Roman" w:cs="Times New Roman" w:eastAsia="Times New Roman" w:hAnsi="Times New Roman"/>
          <w:sz w:val="18"/>
          <w:szCs w:val="18"/>
          <w:color w:val="auto"/>
        </w:rPr>
        <w:t>” means the earlier to occur of: (i) the date the Board, the Independent Managers, or the officers or officers of the Partnership authorized to take such action if the Board is not required, concludes, or reasonably should have concluded, that the Partnership is required to prepare an Accounting Restatement or (ii) the date a court, regulatory, or other legally authorized body directs to the Partnership to prepare an Accounting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 Persons Subject to this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shall apply to all Incentive Compensation received by a Covered Employee: (i) after beginning service as an Executive Officer; (ii) who served as an Executive Officer during the Recovery Period; and (iii) while the Partnership has a class of securities listed on a national securities exchange or a national securities association. Notwithstanding the foregoing, the Board may choose to apply this Policy, in its discretion, to Incentive Compensation received by a Covered Employee during the Recovery Period even if such person did not serve as an Executive Officer during all or part of the Recovery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 Erroneously Awarded Incentive Compensation and Amount Subject to Clawback.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the Partnership is required to prepare an Accounting Restatement, the amount to be recovered from the Covered Employee shall be the Excess Incentive Compensation paid or awarded to a Covered Employee during the Recovery Period. For purposes of calculating the Excess Incentive Compensation amount, Incentive Compensation will be deemed received in the Partnership’s fiscal period during which the Financial Reporting Measure specified in the incentive-based compensation award is attained, even if the payment or grant of the Incentive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Board cannot determine the amount of Excess Incentive Compensation received by the Covered Employee directly from the information in the Accounting Restatement, the Board will make a determination as to the amount of Excess Incentive Compensation based on a reasonable estimate of the effect of the Accounting Restatement. The Board will maintain documentation of that reasonable estimate and provide such documentation to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 Method of Recoupment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shall determine, in its sole discretion, the method of recovering or cancelling, as the case may be, Excess Incentive Compensation, which may include, without limitation, any one or more of the following:</w:t>
      </w:r>
    </w:p>
    <w:p>
      <w:pPr>
        <w:spacing w:after="0" w:line="162" w:lineRule="exact"/>
        <w:rPr>
          <w:sz w:val="20"/>
          <w:szCs w:val="20"/>
          <w:color w:val="auto"/>
        </w:rPr>
      </w:pPr>
    </w:p>
    <w:p>
      <w:pPr>
        <w:ind w:left="500" w:hanging="330"/>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Excess Incentive Compensation previously paid;</w:t>
      </w:r>
    </w:p>
    <w:p>
      <w:pPr>
        <w:spacing w:after="0" w:line="252"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the recovery of any gain realized on the vesting, exercise, settlement, sale, transfer, or other disposition of any equity or equity-based awards;</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Excess Incentive Compensation from any compensation otherwise owed by the Partnership to the Covered Employee;</w:t>
      </w:r>
    </w:p>
    <w:p>
      <w:pPr>
        <w:spacing w:after="0" w:line="252"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forfeiture of deferred compensation, subject to compliance with Section 409A of the Internal Revenue Code and the regulations promulgated thereunder;</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recovery action permitted by law, as determined by the Board.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 Impracticability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shall recover any Excess Incentive Compensation in accordance with this Policy unless the Board concludes such recovery would be impracticable, as determined by the Independent Managers pursuant to and in accordance with Rule 10D-1 of the Exchange Act and Nasdaq Listing Rule 5608(b)(1)(iv).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 Indemnification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Partnership shall not indemnify any Covered Employee, directly or indirectly, for any losses that such Covered Employee may incur in connection with the recovery of any compensation set forth in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 Other Recoupment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applicable employment agreement,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To the extent that any applicable law or stock market or exchange rules or regulations permit or require recovery of compensation in circumstances in addition to those specified herein, nothing in this Policy will be deemed to limit or restrict the right or obligation of the Partnership to recover such compensation to the fullest extent permitted or required by such law, rules or regulations.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shall provide notice and seek written acknowledgement of this Policy from each Covered Employee as soon as practicable after the later of (i) the Effective Date and (ii) the date on which the employee is designated as a Covered Employee; provided, however, that failure to obtain such acknowledgement shall have no impact on the enforceability of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 Interpretation; Amendment; 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comply with the regulations adopted by the Securities and Exchange Commission under Section 10D of the Exchange Act and with Nasdaq Listing Rule 5608, or any successor regulations or rules. The Board may terminate this Policy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 Enforceability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provision of this Clawback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12. Successors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Employees and their beneficiaries, heirs, executors, administrators or other legal representatives.</w:t>
      </w:r>
    </w:p>
    <w:p>
      <w:pPr>
        <w:sectPr>
          <w:pgSz w:w="11900" w:h="16838" w:orient="portrait"/>
          <w:cols w:equalWidth="0" w:num="1">
            <w:col w:w="11240"/>
          </w:cols>
          <w:pgMar w:left="320" w:top="57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0150" cy="702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12001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28,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Brad 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3838 Oak Lawn,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75219-4541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Ehrman: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your request, LaRoche Petroleum Consultants, Ltd. (LPC) has estimated the proved developed producing reserves (PDP) and future net cash flow, as of December 31, 2025, to the Dorchester Minerals, L.P. (DMLP) royalty interest in certain properties located onshore in the United States. The work for this report was completed as of the date of this letter. This report was prepared to provide DMLP with U.S. Securities and Exchange Commission (SEC) compliant reserve estimates. It is our understanding that the properties evaluated by LPC comprise one hundred percent (100%) of DMLP’s PDP reserves of which one hundred percent (100%) were evaluated on a net reserve basis. We believe the assumptions, data, methods, and procedures used in preparing this report, as set out below, are appropriate for the purpose of this report. This report has been prepared using constant prices and costs and conforms to our understanding of the SEC guidelines, reserves definitions, and applicable financial accounting rules.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note that we have necessarily included composite projections of net oil and gas reserves for certain properties due to the limited information available to DMLP as a royalty interest owner and relatively small net reserves attributable to any specific property within the composite groups.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Summarized below are LPC’s estimates of net reserves and future net cash flow. Future net cash flow is after deducting production and ad valorem taxes and operating expenses but before consideration of federal income taxes. The discounted cash flow values included in this report are intended to represent the time value of money and should not be construed to represent an estimate of fair market value. We estimate the net reserves and future net cash flow to the DMLP interest, as of December 31, 2025, to be: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Net Reserves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Future Net Cash Flow (M$)</w:t>
            </w:r>
          </w:p>
        </w:tc>
      </w:tr>
      <w:tr>
        <w:trPr>
          <w:trHeight w:val="191"/>
        </w:trPr>
        <w:tc>
          <w:tcPr>
            <w:tcW w:w="46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5"/>
              </w:rPr>
              <w:t>Oil</w:t>
            </w:r>
          </w:p>
        </w:tc>
        <w:tc>
          <w:tcPr>
            <w:tcW w:w="138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Gas</w:t>
            </w: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NGL</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Present Worth</w:t>
            </w: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Category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(Mbbl)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(MMcf)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(Mbbl)</w:t>
            </w:r>
          </w:p>
        </w:tc>
        <w:tc>
          <w:tcPr>
            <w:tcW w:w="16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at 10%</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Producing</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478,543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oil reserves include crude oil and condensate. Oil and natural gas liquid (NGL) reserves are expressed in barrels which are equivalent to 42 United States gallons. Gas reserves are expressed in thousands of standard cubic feet (Mcf) at the contract temperature and pressure bases.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850 Central Parkway East, Suite 160 ● Plano, Texas 75074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(214) 363-3337 ● Fax (214) 363-1608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reserves and future net cash flow shown in this report are for proved developed producing reserves. No study was made to determine whether proved developed non-producing or proved undeveloped reserves might be established for these properties. This report does not include any value that could be attributed to interests in undeveloped acreage.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reserves were prepared using standard geological and engineering methods generally accepted by the petroleum industry. The reserves in this report have been estimated using deterministic methods. The method or combination of methods utilized in the evaluation of each reservoir included consideration of the stage of development of the reservoir, quality and completeness of basic data, and production history. Recovery from various reservoirs and leases was estimated after consideration of the type of energy inherent in the reservoirs, the structural positions of the properties, and reservoir and well performance. In some instances, comparisons were made to similar properties where more complete data were available. We have used all methods and procedures that we considered necessary under the circumstances to prepare this report. We have excluded from our consideration all matters as to which the controlling interpretation may be legal or accounting rather than engineering or geoscience.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reserves and future net cash flow amounts in this report are related to hydrocarbon prices. Historical prices through December 2025 were used in the preparation of this report as required by SEC guidelines; however, actual future prices may vary significantly from the SEC prices. In addition, future changes in environmental and administrative regulations may significantly affect the ability of DMLP to produce oil and gas at the projected levels. Therefore, volumes of reserves actually recovered and amounts of cash flow actually received may differ significantly from the estimated quantities presented in this report.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Benchmark prices used in this report are based on the twelve-month, unweighted arithmetic average of the first day of the month price for the period January 2025 through December 2025. Gas prices are referenced to a Henry Hub price of $3.39 per MMBtu, as published in the Platts Gas Daily, and are adjusted for energy content, transportation fees, and regional price differentials. Oil and NGL prices are referenced to a West Texas Intermediate crude oil price of $65.34 per barrel at Cushing, Oklahoma, and are adjusted for gravity, crude quality, transportation fees, and regional price differentials. These reference prices are held constant in accordance with SEC guidelines. The weighted average prices after adjustments over the life of the properties are $63.89 per barrel for oil, $1.94 per Mcf for gas, and $27.81 per barrel for NGL.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interests evaluated in this report consist of only royalty interests that are not burdened by lease operating costs and capital costs.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LPC has made no investigation of possible gas volume and value imbalances that may have resulted from the overdelivery or underdelivery to the DMLP interest. Our projections are based on the DMLP interest receiving its net revenue interest share of estimated future gross oil, gas, and NGL production.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Technical information necessary for the preparation of the reserve estimates herein was furnished by DMLP or was obtained from state regulatory agencies and commercially available data sources. No special tests were obtained to assist in the preparation of this report. For the purpose of this report, the individual well test and production data as reported by the above sources were accepted as represented together with all other factual data presented by DMLP including the extent and character of the interest evaluated.</w:t>
      </w:r>
    </w:p>
    <w:p>
      <w:pPr>
        <w:spacing w:after="0" w:line="200" w:lineRule="exact"/>
        <w:rPr>
          <w:sz w:val="20"/>
          <w:szCs w:val="20"/>
          <w:color w:val="auto"/>
        </w:rPr>
      </w:pPr>
    </w:p>
    <w:p>
      <w:pPr>
        <w:spacing w:after="0" w:line="22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An on-site inspection of the properties has not been performed, nor has the mechanical operation or condition of the wells and their related facilities been examined by LPC. In addition, the costs associated with the continued operation of uneconomic properties are not reflected in the cash flows.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of potential environmental liability from the operation and abandonment of the properties is beyond the scope of this report. In addition, no evaluation was made to determine the degree of operator compliance with current environmental rules, regulations, and reporting requirements. Therefore, no estimate of the potential economic liability, if any, from environmental concerns is included in the projections presented herein.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reserves included in this report are estimates only and should not be construed as exact quantities. They may or may not be recovered; if recovered, the revenues therefrom and the costs related thereto could be more or less than the estimated amounts. These estimates should be accepted with the understanding that future development, production history, changes in regulations, product prices, and operating expenses would probably cause us to make revisions in subsequent evaluations. A portion of these reserves are for producing wells that lack sufficient production history to utilize performance-related reserve estimates. Therefore, these reserves are based on estimates of reservoir volumes and recovery efficiencies along with analogies to similar production. These reserve estimates are subject to a greater degree of uncertainty than those based on substantial production and pressure data. It may be necessary to revise these estimates up or down in the future as additional performance data become available. As in all aspects of oil and gas evaluation, there are uncertainties inherent in the interpretation of engineering and geological data; therefore, our conclusions represent informed professional judgments only, not statements of fact.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our third-party study were prepared in accordance with the disclosure requirements set forth in the SEC regulations and intended for public disclosure as an exhibit in filings made with the SEC by DMLP.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DMLP makes periodic filings on Form 10-K with the SEC under the 1934 Exchange Act. Furthermore, DMLP has certain registration statements filed with the SEC under the 1933 Securities Act into which any subsequently filed Form 10-K is incorporated by reference. We have consented to the incorporation by reference in the registration statements on Form S-3 and Form S-8 of DMLP of the references to our name as well as to the references to our third-party report for DMLP which appears in the December 31, 2025 annual report on Form 10-K and/or 10-K/A of DMLP. Our written consent for such use is included as a separate exhibit to the filings made with the SEC by DMLP.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DMLP with a digital version of the original signed copy of this report letter. In the event there are any differences between the digital version included in filings made by DMLP and the original signed report letter, the original signed report letter shall control and supersede the digital version.</w:t>
      </w:r>
    </w:p>
    <w:p>
      <w:pPr>
        <w:spacing w:after="0" w:line="17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The technical persons responsible for preparing the reserve estimates presented herein meet the requirements regarding qualifications, independence, objectivity, and confidentiality set forth in the “Standards Pertaining to the Estimating and Auditing of Oil and Gas Reserves Information” promulgated by the Society of Petroleum Engineers. The technical person primarily responsible for overseeing the preparation of reserve estimates herein is Joe A. Young. Mr. Young is a Licensed Professional Engineer in the State of Texas who has 44 years of engineering experience in the oil and gas industry and has prepared and overseen preparation of reports for public filings for LPC for the past 29 years. LPC is an independent firm of petroleum engineers, geologists, and geophysicists; and is not employed on a contingent basis. Data pertinent to this report are maintained on file in our office.</w:t>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State of Texas Registration Number 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1360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LPC, Inc.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5715</wp:posOffset>
            </wp:positionV>
            <wp:extent cx="2846070" cy="13633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284607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Joe A. Young,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Licensed Professional Engineer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State of Texas No. 62866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JAY:jg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25-914 DMLP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8"/>
          <w:szCs w:val="18"/>
          <w:color w:val="auto"/>
        </w:rPr>
        <w:t>Please be advised that the digital document you are viewing is provided by LaRoche Petroleum Consultants, Ltd. (LPC) as a convenience to our clients. The digital document is intended to be substantively the same as the original signed document maintained by LPC.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-570230</wp:posOffset>
            </wp:positionV>
            <wp:extent cx="7136130" cy="570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36130" cy="570230"/>
                    </a:xfrm>
                    <a:prstGeom prst="rect">
                      <a:avLst/>
                    </a:prstGeom>
                    <a:noFill/>
                  </pic:spPr>
                </pic:pic>
              </a:graphicData>
            </a:graphic>
          </wp:anchor>
        </w:drawing>
      </w:r>
    </w:p>
    <w:p>
      <w:pPr>
        <w:spacing w:after="0" w:line="17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ectPr>
          <w:pgSz w:w="11900" w:h="16838" w:orient="portrait"/>
          <w:cols w:equalWidth="0" w:num="1">
            <w:col w:w="11240"/>
          </w:cols>
          <w:pgMar w:left="320" w:top="58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200150" cy="702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12001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28,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Brad 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Operating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3838 Oak Lawn,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75219-4541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Ehrman: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your request, LaRoche Petroleum Consultants, Ltd. (LPC) has estimated the proved developed producing reserves (PDP) and future net cash flow, as of December 31, 2025, to the Dorchester Minerals Operating LP (DMO) interest in certain properties located onshore in the United States. The work for this report was completed as of the date of this letter. This report was prepared to provide DMO with U.S. Securities and Exchange Commission (SEC) compliant reserve estimates. It is our understanding that the properties evaluated by LPC comprise one hundred percent (100%) of DMO’s PDP reserves. We believe the assumptions, data, methods, and procedures used in preparing this report, as set out below, are appropriate for the purpose of this report. This report has been prepared using constant prices and costs and conforms to our understanding of the SEC guidelines, reserves definitions, and applicable financial accounting rules.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note that we have necessarily included composite projections of net oil and gas reserves for certain properties due to the limited information available to DMO and relatively small net reserves attributable to any specific property within the composite groups.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Summarized below are LPC’s estimates of net reserves and future net cash flow. Future net cash flow is after deducting production and ad valorem taxes and operating expenses but before consideration of federal income taxes. The discounted cash flow values included in this report are intended to represent the time value of money and should not be construed to represent an estimate of fair market value. We estimate the net reserves and future net cash flow to the DMO interest, as of December 31, 2025, to be: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Net Reserves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Future Net Cash Flow (M$)</w:t>
            </w:r>
          </w:p>
        </w:tc>
      </w:tr>
      <w:tr>
        <w:trPr>
          <w:trHeight w:val="191"/>
        </w:trPr>
        <w:tc>
          <w:tcPr>
            <w:tcW w:w="4620" w:type="dxa"/>
            <w:vAlign w:val="bottom"/>
          </w:tcPr>
          <w:p>
            <w:pPr>
              <w:spacing w:after="0"/>
              <w:rPr>
                <w:sz w:val="16"/>
                <w:szCs w:val="16"/>
                <w:color w:val="auto"/>
              </w:rPr>
            </w:pPr>
          </w:p>
        </w:tc>
        <w:tc>
          <w:tcPr>
            <w:tcW w:w="840" w:type="dxa"/>
            <w:vAlign w:val="bottom"/>
            <w:tcBorders>
              <w:top w:val="single" w:sz="8" w:color="auto"/>
            </w:tcBorders>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5"/>
              </w:rPr>
              <w:t>Oil</w:t>
            </w: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Gas</w:t>
            </w:r>
          </w:p>
        </w:tc>
        <w:tc>
          <w:tcPr>
            <w:tcW w:w="820" w:type="dxa"/>
            <w:vAlign w:val="bottom"/>
            <w:tcBorders>
              <w:top w:val="single" w:sz="8" w:color="auto"/>
            </w:tcBorders>
          </w:tcPr>
          <w:p>
            <w:pPr>
              <w:jc w:val="center"/>
              <w:ind w:left="190"/>
              <w:spacing w:after="0" w:line="191" w:lineRule="exact"/>
              <w:rPr>
                <w:sz w:val="20"/>
                <w:szCs w:val="20"/>
                <w:color w:val="auto"/>
              </w:rPr>
            </w:pPr>
            <w:r>
              <w:rPr>
                <w:rFonts w:ascii="Times New Roman" w:cs="Times New Roman" w:eastAsia="Times New Roman" w:hAnsi="Times New Roman"/>
                <w:sz w:val="18"/>
                <w:szCs w:val="18"/>
                <w:color w:val="auto"/>
              </w:rPr>
              <w:t>NGL</w:t>
            </w: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Present Worth</w:t>
            </w: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Category</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(Mbbl)</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(MMcf)</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(Mbbl)</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at 10%</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Producing</w:t>
            </w: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oil reserves include crude oil and condensate. Oil and natural gas liquid (NGL) reserves are expressed in barrels which are equivalent to 42 United States gallons. Gas reserves are expressed in thousands of standard cubic feet (Mcf) at the contract temperature and pressure bases.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850 Central Parkway East, Suite 160 ● Plano, Texas 75074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(214) 363-3337 ● Fax (214) 363-1608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reserves and future net cash flow shown in this report are for proved developed producing reserves. No study was made to determine whether proved developed non-producing or proved undeveloped reserves might be established for these properties. This report does not include any value that could be attributed to interests in undeveloped acreage.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reserves were prepared using standard geological and engineering methods generally accepted by the petroleum industry. The reserves in this report have been estimated using deterministic methods. The method or combination of methods utilized in the evaluation of each reservoir included consideration of the stage of development of the reservoir, quality and completeness of basic data, and production history. Recovery from various reservoirs and leases was estimated after consideration of the type of energy inherent in the reservoirs, the structural positions of the properties, and reservoir and well performance. In some instances, comparisons were made to similar properties where more complete data were available. We have used all methods and procedures that we considered necessary under the circumstances to prepare this report. We have excluded from our consideration all matters as to which the controlling interpretation may be legal or accounting rather than engineering or geoscience.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reserves and future net cash flow amounts in this report are related to hydrocarbon prices. Historical prices through December 2025 were used in the preparation of this report as required by SEC guidelines; however, actual future prices may vary significantly from the SEC prices. In addition, future changes in environmental and administrative regulations may significantly affect the ability of DMO to produce oil and gas at the projected levels. Therefore, volumes of reserves actually recovered and amounts of cash flow actually received may differ significantly from the estimated quantities presented in this report.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Benchmark prices used in this report are based on the twelve-month, unweighted arithmetic average of the first day of the month price for the period January 2025 through December 2025. Gas prices are referenced to a Henry Hub price of $3.39 per MMBtu, as published in the Platts Gas Daily, and are adjusted for energy content, transportation fees, and regional price differentials. Oil and NGL prices are referenced to a West Texas Intermediate crude oil price of $65.34 per barrel at Cushing, Oklahoma, and are adjusted for gravity, crude quality, transportation fees, and regional price differentials. These reference prices are held constant in accordance with SEC guidelines. The weighted average prices after adjustments over the life of the properties are $63.82 per barrel for oil, $1.90 per Mcf for gas, and $32.02 per barrel for NGL.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and well operating expenses are based on data obtained from DMO. Leases and wells operated by others include all direct expenses as well as general and administrative overhead costs allowed under the specific joint operating agreements. Lease and well operating costs are held constant in accordance with SEC guidelines.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of the cost to plug and abandon the wells net of salvage value are included and scheduled at the end of the economic life of individual properties.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also held constant.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LPC has made no investigation of possible gas volume and value imbalances that may have resulted from the overdelivery or underdelivery to the DMO interest. Our projections are based on the DMO interest receiving its net revenue interest share of estimated future gross oil, gas, and NGL production.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Technical information necessary for the preparation of the reserve estimates herein was furnished by DMO or was obtained from state regulatory agencies and commercially available data sources. No special tests were obtained to assist in the preparation of this report. For the purpose of this report, the individual well test and production data as reported by the above sources were accepted as represented together with all other factual data presented by DMO including the extent and character of the interest evaluated.</w:t>
      </w:r>
    </w:p>
    <w:p>
      <w:pPr>
        <w:spacing w:after="0" w:line="200" w:lineRule="exact"/>
        <w:rPr>
          <w:sz w:val="20"/>
          <w:szCs w:val="20"/>
          <w:color w:val="auto"/>
        </w:rPr>
      </w:pPr>
    </w:p>
    <w:p>
      <w:pPr>
        <w:spacing w:after="0" w:line="22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on-site inspection of the properties has not been performed nor has the mechanical operation or condition of the wells and their related facilities been examined by LPC. In addition, the costs associated with the continued operation of uneconomic properties are not reflected in the cash flows.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of potential environmental liability from the operation and abandonment of the properties is beyond the scope of this report. In addition, no evaluation was made to determine the degree of operator compliance with current environmental rules, regulations, and reporting requirements. Therefore, no estimate of the potential economic liability, if any, from environmental concerns is included in the projections presented herein.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reserves included in this report are estimates only and should not be construed as exact quantities. They may or may not be recovered; if recovered, the revenues therefrom and the costs related thereto could be more or less than the estimated amounts. These estimates should be accepted with the understanding that future development, production history, changes in regulations, product prices, and operating expenses would probably cause us to make revisions in subsequent evaluations. A portion of these reserves are for producing wells that lack sufficient production history to utilize performance-related reserve estimates. Therefore, these reserves are based on estimates of reservoir volumes and recovery efficiencies along with analogies to similar production. These reserve estimates are subject to a greater degree of uncertainty than those based on substantial production and pressure data. It may be necessary to revise these estimates up or down in the future as additional performance data become available. As in all aspects of oil and gas evaluation, there are uncertainties inherent in the interpretation of engineering and geological data; therefore, our conclusions represent informed professional judgments only, not statements of fact.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our third-party study were prepared in accordance with the disclosure requirements set forth in the SEC regulations and intended for public disclosure as an exhibit in filings made with the SEC by DMO.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DMO makes periodic filings on Form 10-K with the SEC under the 1934 Exchange Act. Furthermore, DMO has certain registration statements filed with the SEC under the 1933 Securities Act into which any subsequently filed Form 10-K is incorporated by reference. We have consented to the incorporation by reference in the registration statements on Form S-3 and Form S-8 of DMO of the references to our name as well as to the references to our third-party report for DMO which appears in the December 31, 2025 annual report on Form 10-K and/or 10-K/A of DMO. Our written consent for such use is included as a separate exhibit to the filings made with the SEC by DMO.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DMO with a digital version of the original signed copy of this report letter. In the event there are any differences between the digital version included in filings made by DMO and the original signed report letter, the original signed report letter shall control and supersede the digital version.</w:t>
      </w:r>
    </w:p>
    <w:p>
      <w:pPr>
        <w:spacing w:after="0" w:line="17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18"/>
          <w:szCs w:val="18"/>
          <w:color w:val="auto"/>
        </w:rPr>
        <w:t>The technical persons responsible for preparing the reserve estimates presented herein meet the requirements regarding qualifications, independence, objectivity, and confidentiality set forth in the “Standards Pertaining to the Estimating and Auditing of Oil and Gas Reserves Information” promulgated by the Society of Petroleum Engineers. The technical person primarily responsible for overseeing the preparation of reserve estimates herein is Joe A. Young. Mr. Young is a Licensed Professional Engineer in the State of Texas who has 44 years of engineering experience in the oil and gas industry and has prepared and overseen preparation of reports for public filings for LPC for the past 29 years. LPC is an independent firm of petroleum engineers, geologists, and geophysicists; and is not employed on a contingent basis. Data pertinent to this report are maintained on file in our office.</w:t>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State of Texas Registration Number 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1360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LPC, Inc.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5715</wp:posOffset>
            </wp:positionV>
            <wp:extent cx="2846070" cy="13633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284607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Joe A. Young,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Licensed Professional Engineer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State of Texas No. 62866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JAY:jg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25-914 DMO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8"/>
          <w:szCs w:val="18"/>
          <w:color w:val="auto"/>
        </w:rPr>
        <w:t>Please be advised that the digital document you are viewing is provided by LaRoche Petroleum Consultants, Ltd. (LPC) as a convenience to our clients. The digital document is intended to be substantively the same as the original signed document maintained by LPC.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-570230</wp:posOffset>
            </wp:positionV>
            <wp:extent cx="7136130" cy="570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36130" cy="570230"/>
                    </a:xfrm>
                    <a:prstGeom prst="rect">
                      <a:avLst/>
                    </a:prstGeom>
                    <a:noFill/>
                  </pic:spPr>
                </pic:pic>
              </a:graphicData>
            </a:graphic>
          </wp:anchor>
        </w:drawing>
      </w:r>
    </w:p>
    <w:p>
      <w:pPr>
        <w:spacing w:after="0" w:line="17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lowerLetter"/>
      <w:start w:val="1"/>
    </w:lvl>
    <w:lvl w:ilvl="1">
      <w:lvlJc w:val="left"/>
      <w:lvlText w:val="(%2)"/>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2"/>
    </w:lvl>
  </w:abstractNum>
  <w:abstractNum w:abstractNumId="23">
    <w:nsid w:val="5E884ADC"/>
    <w:multiLevelType w:val="hybridMultilevel"/>
    <w:lvl w:ilvl="0">
      <w:lvlJc w:val="left"/>
      <w:lvlText w:val="%1."/>
      <w:numFmt w:val="decimal"/>
      <w:start w:val="3"/>
    </w:lvl>
  </w:abstractNum>
  <w:abstractNum w:abstractNumId="24">
    <w:nsid w:val="51EAD36B"/>
    <w:multiLevelType w:val="hybridMultilevel"/>
    <w:lvl w:ilvl="0">
      <w:lvlJc w:val="left"/>
      <w:lvlText w:val="%1."/>
      <w:numFmt w:val="decimal"/>
      <w:start w:val="4"/>
    </w:lvl>
  </w:abstractNum>
  <w:abstractNum w:abstractNumId="25">
    <w:nsid w:val="2D517796"/>
    <w:multiLevelType w:val="hybridMultilevel"/>
    <w:lvl w:ilvl="0">
      <w:lvlJc w:val="left"/>
      <w:lvlText w:val="%1."/>
      <w:numFmt w:val="decimal"/>
      <w:start w:val="5"/>
    </w:lvl>
  </w:abstractNum>
  <w:abstractNum w:abstractNumId="26">
    <w:nsid w:val="580BD78F"/>
    <w:multiLevelType w:val="hybridMultilevel"/>
    <w:lvl w:ilvl="0">
      <w:lvlJc w:val="left"/>
      <w:lvlText w:val="%1."/>
      <w:numFmt w:val="decimal"/>
      <w:start w:val="6"/>
    </w:lvl>
  </w:abstractNum>
  <w:abstractNum w:abstractNumId="27">
    <w:nsid w:val="153EA438"/>
    <w:multiLevelType w:val="hybridMultilevel"/>
    <w:lvl w:ilvl="0">
      <w:lvlJc w:val="left"/>
      <w:lvlText w:val="%1."/>
      <w:numFmt w:val="decimal"/>
      <w:start w:val="7"/>
    </w:lvl>
  </w:abstractNum>
  <w:abstractNum w:abstractNumId="28">
    <w:nsid w:val="3855585C"/>
    <w:multiLevelType w:val="hybridMultilevel"/>
    <w:lvl w:ilvl="0">
      <w:lvlJc w:val="left"/>
      <w:lvlText w:val="%1."/>
      <w:numFmt w:val="decimal"/>
      <w:start w:val="8"/>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
    <w:nsid w:val="725A06FB"/>
    <w:multiLevelType w:val="hybridMultilevel"/>
    <w:lvl w:ilvl="0">
      <w:lvlJc w:val="left"/>
      <w:lvlText w:val="(%1)"/>
      <w:numFmt w:val="lowerRoman"/>
      <w:start w:val="4"/>
    </w:lvl>
  </w:abstractNum>
  <w:abstractNum w:abstractNumId="34">
    <w:nsid w:val="2CD89A32"/>
    <w:multiLevelType w:val="hybridMultilevel"/>
    <w:lvl w:ilvl="0">
      <w:lvlJc w:val="left"/>
      <w:lvlText w:val="(%1)"/>
      <w:numFmt w:val="lowerRoman"/>
      <w:start w:val="9"/>
    </w:lvl>
  </w:abstractNum>
  <w:abstractNum w:abstractNumId="35">
    <w:nsid w:val="57E4CCAF"/>
    <w:multiLevelType w:val="hybridMultilevel"/>
    <w:lvl w:ilvl="0">
      <w:lvlJc w:val="left"/>
      <w:lvlText w:val="(%1)"/>
      <w:numFmt w:val="lowerLetter"/>
      <w:start w:val="2"/>
    </w:lvl>
    <w:lvl w:ilvl="1">
      <w:lvlJc w:val="left"/>
      <w:lvlText w:val="(%2)"/>
      <w:numFmt w:val="lowerRoman"/>
      <w:start w:val="1"/>
    </w:lvl>
  </w:abstractNum>
  <w:abstractNum w:abstractNumId="36">
    <w:nsid w:val="7A6D8D3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4B588F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decimal"/>
      <w:start w:val="1"/>
    </w:lvl>
    <w:lvl w:ilvl="1">
      <w:lvlJc w:val="left"/>
      <w:lvlText w:val="(%2)"/>
      <w:numFmt w:val="lowerLetter"/>
      <w:start w:val="2"/>
    </w:lvl>
  </w:abstractNum>
  <w:abstractNum w:abstractNumId="40">
    <w:nsid w:val="38437FDB"/>
    <w:multiLevelType w:val="hybridMultilevel"/>
    <w:lvl w:ilvl="0">
      <w:lvlJc w:val="left"/>
      <w:lvlText w:val="%1."/>
      <w:numFmt w:val="decimal"/>
      <w:start w:val="6"/>
    </w:lvl>
    <w:lvl w:ilvl="1">
      <w:lvlJc w:val="left"/>
      <w:lvlText w:val="%2"/>
      <w:numFmt w:val="lowerLetter"/>
      <w:start w:val="1"/>
    </w:lvl>
  </w:abstractNum>
  <w:abstractNum w:abstractNumId="41">
    <w:nsid w:val="7644A45C"/>
    <w:multiLevelType w:val="hybridMultilevel"/>
    <w:lvl w:ilvl="0">
      <w:lvlJc w:val="left"/>
      <w:lvlText w:val="%1."/>
      <w:numFmt w:val="decimal"/>
      <w:start w:val="1"/>
    </w:lvl>
    <w:lvl w:ilvl="1">
      <w:lvlJc w:val="left"/>
      <w:lvlText w:val="(%2)"/>
      <w:numFmt w:val="lowerLetter"/>
      <w:start w:val="1"/>
    </w:lvl>
  </w:abstractNum>
  <w:abstractNum w:abstractNumId="42">
    <w:nsid w:val="32FFF902"/>
    <w:multiLevelType w:val="hybridMultilevel"/>
    <w:lvl w:ilvl="0">
      <w:lvlJc w:val="left"/>
      <w:lvlText w:val="(%1)"/>
      <w:numFmt w:val="lowerLetter"/>
      <w:start w:val="3"/>
    </w:lvl>
    <w:lvl w:ilvl="1">
      <w:lvlJc w:val="left"/>
      <w:lvlText w:val="(%2)"/>
      <w:numFmt w:val="lowerRoman"/>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749ABB43"/>
    <w:multiLevelType w:val="hybridMultilevel"/>
    <w:lvl w:ilvl="0">
      <w:lvlJc w:val="left"/>
      <w:lvlText w:val="%1"/>
      <w:numFmt w:val="decimal"/>
      <w:start w:val="1"/>
    </w:lvl>
    <w:lvl w:ilvl="1">
      <w:lvlJc w:val="left"/>
      <w:lvlText w:val="(%2)"/>
      <w:numFmt w:val="lowerRoman"/>
      <w:start w:val="3"/>
    </w:lvl>
  </w:abstractNum>
  <w:abstractNum w:abstractNumId="46">
    <w:nsid w:val="3DC240FB"/>
    <w:multiLevelType w:val="hybridMultilevel"/>
    <w:lvl w:ilvl="0">
      <w:lvlJc w:val="left"/>
      <w:lvlText w:val="%1."/>
      <w:numFmt w:val="decimal"/>
      <w:start w:val="5"/>
    </w:lvl>
    <w:lvl w:ilvl="1">
      <w:lvlJc w:val="left"/>
      <w:lvlText w:val="%2"/>
      <w:numFmt w:val="lowerRoman"/>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lowerRoman"/>
      <w:start w:val="1"/>
    </w:lvl>
  </w:abstractNum>
  <w:abstractNum w:abstractNumId="52">
    <w:nsid w:val="520EEDD1"/>
    <w:multiLevelType w:val="hybridMultilevel"/>
    <w:lvl w:ilvl="0">
      <w:lvlJc w:val="left"/>
      <w:lvlText w:val="%1."/>
      <w:numFmt w:val="lowerRoman"/>
      <w:start w:val="5"/>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76"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jpe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jpe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jpe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53" Type="http://schemas.openxmlformats.org/officeDocument/2006/relationships/hyperlink" Target="http://www.sec.gov/Archives/edgar/data/1172358/000093066102001763/dex31.txt" TargetMode="External"/><Relationship Id="rId54" Type="http://schemas.openxmlformats.org/officeDocument/2006/relationships/hyperlink" Target="http://www.sec.gov/Archives/edgar/data/1172358/000093066103001226/dex32.htm" TargetMode="External"/><Relationship Id="rId55" Type="http://schemas.openxmlformats.org/officeDocument/2006/relationships/hyperlink" Target="http://www.sec.gov/Archives/edgar/data/1172358/000143774917021084/ex_102411.htm" TargetMode="External"/><Relationship Id="rId56" Type="http://schemas.openxmlformats.org/officeDocument/2006/relationships/hyperlink" Target="http://www.sec.gov/Archives/edgar/data/1172358/000143774918014602/ex_120115.htm" TargetMode="External"/><Relationship Id="rId57" Type="http://schemas.openxmlformats.org/officeDocument/2006/relationships/hyperlink" Target="http://www.sec.gov/Archives/edgar/data/1172358/000143774923027864/ex_577250.htm" TargetMode="External"/><Relationship Id="rId58" Type="http://schemas.openxmlformats.org/officeDocument/2006/relationships/hyperlink" Target="http://www.sec.gov/Archives/edgar/data/1172358/000093066102001763/dex34.txt" TargetMode="External"/><Relationship Id="rId59" Type="http://schemas.openxmlformats.org/officeDocument/2006/relationships/hyperlink" Target="http://www.sec.gov/Archives/edgar/data/1172358/000093066103001226/dex34.htm" TargetMode="External"/><Relationship Id="rId60" Type="http://schemas.openxmlformats.org/officeDocument/2006/relationships/hyperlink" Target="http://www.sec.gov/Archives/edgar/data/1172358/000093066102001763/dex37.txt" TargetMode="External"/><Relationship Id="rId61" Type="http://schemas.openxmlformats.org/officeDocument/2006/relationships/hyperlink" Target="http://www.sec.gov/ix?doc=/Archives/edgar/data/0001172358/000143774924031551/dmlp20241017_8k.htm" TargetMode="External"/><Relationship Id="rId62" Type="http://schemas.openxmlformats.org/officeDocument/2006/relationships/hyperlink" Target="http://www.sec.gov/Archives/edgar/data/1172358/000093066102001763/dex310.txt" TargetMode="External"/><Relationship Id="rId63" Type="http://schemas.openxmlformats.org/officeDocument/2006/relationships/hyperlink" Target="http://www.sec.gov/Archives/edgar/data/1172358/000093066102001763/dex311.txt" TargetMode="External"/><Relationship Id="rId64" Type="http://schemas.openxmlformats.org/officeDocument/2006/relationships/hyperlink" Target="http://www.sec.gov/Archives/edgar/data/1172358/000093066102001763/dex312.txt" TargetMode="External"/><Relationship Id="rId65" Type="http://schemas.openxmlformats.org/officeDocument/2006/relationships/hyperlink" Target="http://www.sec.gov/Archives/edgar/data/1172358/000093066103001226/dex310.htm" TargetMode="External"/><Relationship Id="rId66" Type="http://schemas.openxmlformats.org/officeDocument/2006/relationships/hyperlink" Target="http://www.sec.gov/Archives/edgar/data/1172358/000093066103001226/dex311.htm" TargetMode="External"/><Relationship Id="rId67" Type="http://schemas.openxmlformats.org/officeDocument/2006/relationships/hyperlink" Target="http://www.sec.gov/Archives/edgar/data/1172358/000093066103001226/dex312.htm" TargetMode="External"/><Relationship Id="rId68" Type="http://schemas.openxmlformats.org/officeDocument/2006/relationships/hyperlink" Target="http://www.sec.gov/Archives/edgar/data/1172358/000093066103001226/dex313.htm" TargetMode="External"/><Relationship Id="rId69" Type="http://schemas.openxmlformats.org/officeDocument/2006/relationships/hyperlink" Target="http://www.sec.gov/Archives/edgar/data/1172358/000093066103001226/dex314.htm" TargetMode="External"/><Relationship Id="rId70" Type="http://schemas.openxmlformats.org/officeDocument/2006/relationships/hyperlink" Target="http://www.sec.gov/Archives/edgar/data/1172358/000143774925004616/ex_700992.htm" TargetMode="External"/><Relationship Id="rId71" Type="http://schemas.openxmlformats.org/officeDocument/2006/relationships/hyperlink" Target="http://www.sec.gov/Archives/edgar/data/1172358/000093066103001226/dex101.htm" TargetMode="External"/><Relationship Id="rId72" Type="http://schemas.openxmlformats.org/officeDocument/2006/relationships/hyperlink" Target="http://www.sec.gov/Archives/edgar/data/1172358/000093066103001226/dex102.htm" TargetMode="External"/><Relationship Id="rId73" Type="http://schemas.openxmlformats.org/officeDocument/2006/relationships/hyperlink" Target="http://www.sec.gov/Archives/edgar/data/1172358/000093066103001226/dex103.htm" TargetMode="External"/><Relationship Id="rId74" Type="http://schemas.openxmlformats.org/officeDocument/2006/relationships/hyperlink" Target="http://www.sec.gov/Archives/edgar/data/1172358/000093066103001226/dex104.htm" TargetMode="External"/><Relationship Id="rId75" Type="http://schemas.openxmlformats.org/officeDocument/2006/relationships/hyperlink" Target="http://www.sec.gov/Archives/edgar/data/1172358/000117235804000039/q0204_exh101.txt" TargetMode="External"/><Relationship Id="rId77" Type="http://schemas.openxmlformats.org/officeDocument/2006/relationships/hyperlink" Target="http://www.sec.gov/Archives/edgar/data/1172358/000143774915005061/dmlp20150313_def14a.htm" TargetMode="External"/><Relationship Id="rId78" Type="http://schemas.openxmlformats.org/officeDocument/2006/relationships/hyperlink" Target="http://www.sec.gov/Archives/edgar/data/1172358/000143774922022847/ex_425537.htm" TargetMode="External"/><Relationship Id="rId79" Type="http://schemas.openxmlformats.org/officeDocument/2006/relationships/hyperlink" Target="http://www.sec.gov/Archives/edgar/data/1172358/000143774923027864/ex_577251.htm" TargetMode="External"/><Relationship Id="rId80" Type="http://schemas.openxmlformats.org/officeDocument/2006/relationships/hyperlink" Target="http://www.sec.gov/Archives/edgar/data/1172358/000143774924005193/ex_628307.htm" TargetMode="External"/><Relationship Id="rId81" Type="http://schemas.openxmlformats.org/officeDocument/2006/relationships/hyperlink" Target="http://www.sec.gov/Archives/edgar/data/1172358/000143774924005193/ex_628308.htm" TargetMode="External"/><Relationship Id="rId82" Type="http://schemas.openxmlformats.org/officeDocument/2006/relationships/hyperlink" Target="http://www.sec.gov/Archives/edgar/data/1172358/000143774924029203/ex_723982.htm" TargetMode="External"/><Relationship Id="rId83" Type="http://schemas.openxmlformats.org/officeDocument/2006/relationships/hyperlink" Target="http://www.sec.gov/Archives/edgar/data/1172358/000143774924031551/ex_73415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2026-02-24T16:30:53Z</dcterms:created>
  <dcterms:modified xsi:type="dcterms:W3CDTF">2026-02-24T16:30:53Z</dcterms:modified>
</cp:coreProperties>
</file>