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March 12, 2026</w:t>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DORCHESTER MINERALS, L.P.</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4060" w:type="dxa"/>
            <w:vAlign w:val="bottom"/>
            <w:gridSpan w:val="4"/>
          </w:tcPr>
          <w:p>
            <w:pPr>
              <w:jc w:val="center"/>
              <w:ind w:left="1190"/>
              <w:spacing w:after="0"/>
              <w:rPr>
                <w:sz w:val="20"/>
                <w:szCs w:val="20"/>
                <w:color w:val="auto"/>
              </w:rPr>
            </w:pPr>
            <w:r>
              <w:rPr>
                <w:rFonts w:ascii="Times New Roman" w:cs="Times New Roman" w:eastAsia="Times New Roman" w:hAnsi="Times New Roman"/>
                <w:sz w:val="18"/>
                <w:szCs w:val="18"/>
                <w:color w:val="auto"/>
                <w:w w:val="99"/>
              </w:rPr>
              <w:t>000-50175</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81-0551518</w:t>
            </w:r>
          </w:p>
        </w:tc>
      </w:tr>
      <w:tr>
        <w:trPr>
          <w:trHeight w:val="191"/>
        </w:trPr>
        <w:tc>
          <w:tcPr>
            <w:tcW w:w="2960" w:type="dxa"/>
            <w:vAlign w:val="bottom"/>
            <w:tcBorders>
              <w:top w:val="single" w:sz="8" w:color="auto"/>
            </w:tcBorders>
          </w:tcPr>
          <w:p>
            <w:pPr>
              <w:jc w:val="center"/>
              <w:ind w:left="35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2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4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8"/>
              </w:rPr>
              <w:t>File Number)</w:t>
            </w:r>
          </w:p>
        </w:tc>
        <w:tc>
          <w:tcPr>
            <w:tcW w:w="3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08"/>
        </w:trPr>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0" w:type="dxa"/>
            <w:vAlign w:val="bottom"/>
            <w:gridSpan w:val="6"/>
          </w:tcPr>
          <w:p>
            <w:pPr>
              <w:jc w:val="center"/>
              <w:ind w:right="720"/>
              <w:spacing w:after="0"/>
              <w:rPr>
                <w:sz w:val="20"/>
                <w:szCs w:val="20"/>
                <w:color w:val="auto"/>
              </w:rPr>
            </w:pPr>
            <w:r>
              <w:rPr>
                <w:rFonts w:ascii="Times New Roman" w:cs="Times New Roman" w:eastAsia="Times New Roman" w:hAnsi="Times New Roman"/>
                <w:sz w:val="18"/>
                <w:szCs w:val="18"/>
                <w:color w:val="auto"/>
                <w:w w:val="99"/>
              </w:rPr>
              <w:t>3838 Oak Lawn, Suite 300, Dallas, Texas 75219</w:t>
            </w:r>
          </w:p>
        </w:tc>
        <w:tc>
          <w:tcPr>
            <w:tcW w:w="3160" w:type="dxa"/>
            <w:vAlign w:val="bottom"/>
          </w:tcPr>
          <w:p>
            <w:pPr>
              <w:spacing w:after="0"/>
              <w:rPr>
                <w:sz w:val="24"/>
                <w:szCs w:val="24"/>
                <w:color w:val="auto"/>
              </w:rPr>
            </w:pPr>
          </w:p>
        </w:tc>
      </w:tr>
      <w:tr>
        <w:trPr>
          <w:trHeight w:val="20"/>
        </w:trPr>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37"/>
        </w:trPr>
        <w:tc>
          <w:tcPr>
            <w:tcW w:w="2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0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160" w:type="dxa"/>
            <w:vAlign w:val="bottom"/>
          </w:tcPr>
          <w:p>
            <w:pPr>
              <w:spacing w:after="0"/>
              <w:rPr>
                <w:sz w:val="20"/>
                <w:szCs w:val="20"/>
                <w:color w:val="auto"/>
              </w:rPr>
            </w:pPr>
          </w:p>
        </w:tc>
      </w:tr>
      <w:tr>
        <w:trPr>
          <w:trHeight w:val="391"/>
        </w:trPr>
        <w:tc>
          <w:tcPr>
            <w:tcW w:w="2960" w:type="dxa"/>
            <w:vAlign w:val="bottom"/>
          </w:tcPr>
          <w:p>
            <w:pPr>
              <w:spacing w:after="0"/>
              <w:rPr>
                <w:sz w:val="24"/>
                <w:szCs w:val="24"/>
                <w:color w:val="auto"/>
              </w:rPr>
            </w:pPr>
          </w:p>
        </w:tc>
        <w:tc>
          <w:tcPr>
            <w:tcW w:w="5120" w:type="dxa"/>
            <w:vAlign w:val="bottom"/>
            <w:gridSpan w:val="8"/>
          </w:tcPr>
          <w:p>
            <w:pPr>
              <w:jc w:val="center"/>
              <w:ind w:lef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(214) 559-0300</w:t>
            </w:r>
          </w:p>
        </w:tc>
        <w:tc>
          <w:tcPr>
            <w:tcW w:w="3160" w:type="dxa"/>
            <w:vAlign w:val="bottom"/>
          </w:tcPr>
          <w:p>
            <w:pPr>
              <w:spacing w:after="0"/>
              <w:rPr>
                <w:sz w:val="24"/>
                <w:szCs w:val="24"/>
                <w:color w:val="auto"/>
              </w:rPr>
            </w:pPr>
          </w:p>
        </w:tc>
      </w:tr>
      <w:tr>
        <w:trPr>
          <w:trHeight w:val="20"/>
        </w:trPr>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ind w:left="340" w:right="360"/>
        <w:spacing w:after="0" w:line="243"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line="207" w:lineRule="exact"/>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9" w:lineRule="exact"/>
        <w:rPr>
          <w:rFonts w:ascii="MS PGothic" w:cs="MS PGothic" w:eastAsia="MS PGothic" w:hAnsi="MS PGothic"/>
          <w:sz w:val="18"/>
          <w:szCs w:val="18"/>
          <w:color w:val="auto"/>
        </w:rPr>
      </w:pPr>
    </w:p>
    <w:p>
      <w:pPr>
        <w:ind w:left="340" w:hanging="332"/>
        <w:spacing w:after="0" w:line="207" w:lineRule="exact"/>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9" w:lineRule="exact"/>
        <w:rPr>
          <w:rFonts w:ascii="MS PGothic" w:cs="MS PGothic" w:eastAsia="MS PGothic" w:hAnsi="MS PGothic"/>
          <w:sz w:val="18"/>
          <w:szCs w:val="18"/>
          <w:color w:val="auto"/>
        </w:rPr>
      </w:pPr>
    </w:p>
    <w:p>
      <w:pPr>
        <w:ind w:left="340" w:right="2840" w:hanging="332"/>
        <w:spacing w:after="0" w:line="323" w:lineRule="exact"/>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Securities registered pursuant to Section 12(b) of the Act:</w:t>
      </w:r>
    </w:p>
    <w:p>
      <w:pPr>
        <w:spacing w:after="0" w:line="186"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w w:val="97"/>
              </w:rPr>
              <w:t>Title of Each Class</w:t>
            </w: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18"/>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Units Representing Limited</w:t>
            </w:r>
          </w:p>
        </w:tc>
        <w:tc>
          <w:tcPr>
            <w:tcW w:w="40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DMLP</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3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Partnership Interest</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198" w:lineRule="exact"/>
        <w:rPr>
          <w:sz w:val="24"/>
          <w:szCs w:val="24"/>
          <w:color w:val="auto"/>
        </w:rPr>
      </w:pPr>
    </w:p>
    <w:p>
      <w:pPr>
        <w:ind w:left="340" w:right="180"/>
        <w:spacing w:after="0" w:line="223" w:lineRule="exact"/>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 (§240.12b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34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left="1300" w:right="140"/>
        <w:spacing w:after="0" w:line="258" w:lineRule="auto"/>
        <w:rPr>
          <w:sz w:val="20"/>
          <w:szCs w:val="20"/>
          <w:color w:val="auto"/>
        </w:rPr>
      </w:pPr>
      <w:r>
        <w:rPr>
          <w:rFonts w:ascii="Times New Roman" w:cs="Times New Roman" w:eastAsia="Times New Roman" w:hAnsi="Times New Roman"/>
          <w:sz w:val="18"/>
          <w:szCs w:val="18"/>
          <w:color w:val="auto"/>
        </w:rPr>
        <w:t>On March 16, 2026, the Partnership issued a press release announcing that the Partnership and Dorchester Minerals Operating LP (the “Operating Partnership”) entered into a settlement and mutual release agreement (the “Settlement Agreement”) with certain unrelated third parties. The Settlement Agreement resolved ordinary course litigation affecting certain leasehold in Midland County, Texas, which is owned by the Operating Partnership and subject to the Net Profits Interest (the “Press Release”). The Press Release is attached hereto as Exhibit 99.1 to this Form 8-K and incorporated herein by reference.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Limitation on Incorporation by Reference:</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instructions B.2 and B.6 of Form 8-K, the information in this Item 7.01 and Exhibit 99.1 is furnished and shall not be deemed “filed” for the purposes of Section 18 of the Securities Exchange Act of 1934, as amended, or otherwise subject to the liability of that section, and shall not be deemed incorporated by reference into any filing under the Securities Act of 1933, as amended.</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left="1300" w:right="40"/>
        <w:spacing w:after="0" w:line="258" w:lineRule="auto"/>
        <w:rPr>
          <w:sz w:val="20"/>
          <w:szCs w:val="20"/>
          <w:color w:val="auto"/>
        </w:rPr>
      </w:pPr>
      <w:r>
        <w:rPr>
          <w:rFonts w:ascii="Times New Roman" w:cs="Times New Roman" w:eastAsia="Times New Roman" w:hAnsi="Times New Roman"/>
          <w:sz w:val="18"/>
          <w:szCs w:val="18"/>
          <w:color w:val="auto"/>
        </w:rPr>
        <w:t>On March 12, 2026, the Partnership and Dorchester Minerals Operating LP (the “Operating Partnership”) entered into a settlement and mutual release agreement (the “Settlement Agreement”) with certain unrelated third parties. The Settlement Agreement resolved ordinary course litigation affecting certain leasehold in Midland County, Texas, which is owned by the Operating Partnership and subject to the Net Profits Interest. In connection with such settlement, the Operating Partnership received proceeds of $15.5 million, which will be included in the calculation of the April 2026 Net Profits Interest payment to Dorchester Minerals, L.P.</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1960" w:hanging="656"/>
        <w:spacing w:after="0"/>
        <w:tabs>
          <w:tab w:leader="none" w:pos="1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99.1</w:t>
            </w: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March 16, 2026</w:t>
            </w:r>
          </w:p>
        </w:tc>
      </w:tr>
      <w:tr>
        <w:trPr>
          <w:trHeight w:val="20"/>
        </w:trPr>
        <w:tc>
          <w:tcPr>
            <w:tcW w:w="260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480"/>
        </w:trPr>
        <w:tc>
          <w:tcPr>
            <w:tcW w:w="26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104</w:t>
            </w: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01"/>
        </w:trPr>
        <w:tc>
          <w:tcPr>
            <w:tcW w:w="2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6280" w:type="dxa"/>
            <w:vAlign w:val="bottom"/>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DORCHESTER MINERALS, L.P.</w:t>
            </w:r>
          </w:p>
        </w:tc>
      </w:tr>
      <w:tr>
        <w:trPr>
          <w:trHeight w:val="64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6280" w:type="dxa"/>
            <w:vAlign w:val="bottom"/>
            <w:gridSpan w:val="2"/>
          </w:tcPr>
          <w:p>
            <w:pPr>
              <w:jc w:val="right"/>
              <w:ind w:right="1930"/>
              <w:spacing w:after="0"/>
              <w:rPr>
                <w:sz w:val="20"/>
                <w:szCs w:val="20"/>
                <w:color w:val="auto"/>
              </w:rPr>
            </w:pPr>
            <w:r>
              <w:rPr>
                <w:rFonts w:ascii="Times New Roman" w:cs="Times New Roman" w:eastAsia="Times New Roman" w:hAnsi="Times New Roman"/>
                <w:sz w:val="18"/>
                <w:szCs w:val="18"/>
                <w:color w:val="auto"/>
              </w:rPr>
              <w:t>By: /s/ Bradley J. Ehrman</w:t>
            </w:r>
          </w:p>
        </w:tc>
      </w:tr>
      <w:tr>
        <w:trPr>
          <w:trHeight w:val="191"/>
        </w:trPr>
        <w:tc>
          <w:tcPr>
            <w:tcW w:w="36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360" w:type="dxa"/>
            <w:vAlign w:val="bottom"/>
            <w:tcBorders>
              <w:top w:val="single" w:sz="8" w:color="auto"/>
            </w:tcBorders>
          </w:tcPr>
          <w:p>
            <w:pPr>
              <w:jc w:val="right"/>
              <w:ind w:right="1930"/>
              <w:spacing w:after="0" w:line="191" w:lineRule="exact"/>
              <w:rPr>
                <w:sz w:val="20"/>
                <w:szCs w:val="20"/>
                <w:color w:val="auto"/>
              </w:rPr>
            </w:pPr>
            <w:r>
              <w:rPr>
                <w:rFonts w:ascii="Times New Roman" w:cs="Times New Roman" w:eastAsia="Times New Roman" w:hAnsi="Times New Roman"/>
                <w:sz w:val="18"/>
                <w:szCs w:val="18"/>
                <w:color w:val="auto"/>
                <w:w w:val="98"/>
              </w:rPr>
              <w:t>Bradley J. Ehrman</w:t>
            </w:r>
          </w:p>
        </w:tc>
      </w:tr>
      <w:tr>
        <w:trPr>
          <w:trHeight w:val="234"/>
        </w:trPr>
        <w:tc>
          <w:tcPr>
            <w:tcW w:w="36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36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w w:val="98"/>
              </w:rPr>
              <w:t>Chief Executive Officer</w:t>
            </w:r>
          </w:p>
        </w:tc>
      </w:tr>
    </w:tbl>
    <w:p>
      <w:pPr>
        <w:sectPr>
          <w:pgSz w:w="11900" w:h="16838" w:orient="portrait"/>
          <w:cols w:equalWidth="0" w:num="1">
            <w:col w:w="10880"/>
          </w:cols>
          <w:pgMar w:left="320" w:top="576"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ectPr>
          <w:pgSz w:w="11900" w:h="16838" w:orient="portrait"/>
          <w:cols w:equalWidth="0" w:num="1">
            <w:col w:w="11240"/>
          </w:cols>
          <w:pgMar w:left="320" w:top="117" w:right="339" w:bottom="1440" w:gutter="0" w:footer="0" w:header="0"/>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auto"/>
        </w:rPr>
        <w:t>NEWS RELEASE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color w:val="auto"/>
        </w:rPr>
        <w:t>Dorchester Minerals, L.P.</w:t>
      </w:r>
    </w:p>
    <w:p>
      <w:pPr>
        <w:spacing w:after="0" w:line="211" w:lineRule="exact"/>
        <w:rPr>
          <w:sz w:val="20"/>
          <w:szCs w:val="20"/>
          <w:color w:val="auto"/>
        </w:rPr>
      </w:pPr>
    </w:p>
    <w:p>
      <w:pPr>
        <w:sectPr>
          <w:pgSz w:w="11900" w:h="16838" w:orient="portrait"/>
          <w:cols w:equalWidth="0" w:num="2">
            <w:col w:w="4900" w:space="720"/>
            <w:col w:w="5620"/>
          </w:cols>
          <w:pgMar w:left="320" w:top="117"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Release Date: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Contact: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16, 2026</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Martye Miller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3838 Oak Lawn Ave., Suite 300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 75219-4541</w:t>
      </w:r>
    </w:p>
    <w:p>
      <w:pPr>
        <w:spacing w:after="0"/>
        <w:rPr>
          <w:sz w:val="20"/>
          <w:szCs w:val="20"/>
          <w:color w:val="auto"/>
        </w:rPr>
      </w:pPr>
      <w:r>
        <w:rPr>
          <w:rFonts w:ascii="Times New Roman" w:cs="Times New Roman" w:eastAsia="Times New Roman" w:hAnsi="Times New Roman"/>
          <w:sz w:val="20"/>
          <w:szCs w:val="20"/>
          <w:color w:val="auto"/>
        </w:rPr>
        <w:t>(214) 559-0300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171450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320" w:space="720"/>
            <w:col w:w="4880" w:space="720"/>
            <w:col w:w="3600"/>
          </w:cols>
          <w:pgMar w:left="320" w:top="117" w:right="339" w:bottom="1440" w:gutter="0" w:footer="0" w:header="0"/>
          <w:type w:val="continuous"/>
        </w:sect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Dorchester Minerals, L.P. Announces Settlement Agreement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DALLAS, TEXAS -- Dorchester Minerals, L.P. (the “Partnership”) (NASDAQ-DMLP) and Dorchester Minerals Operating LP (the “Operating Partnership”) have entered into a settlement and mutual release agreement (the “Settlement Agreement”) with unrelated third parties. The Settlement Agreement resolves ordinary course litigation affecting certain leasehold in Midland County, Texas, which is owned by the Operating Partnership and subject to the Net Profits Interest. The Operating Partnership received proceeds of $15.5 million, which will be included in the calculation of the April 2026 Net Profits Interest payment to Dorchester Minerals, L.P.</w:t>
      </w:r>
    </w:p>
    <w:p>
      <w:pPr>
        <w:spacing w:after="0" w:line="183" w:lineRule="exact"/>
        <w:rPr>
          <w:sz w:val="20"/>
          <w:szCs w:val="20"/>
          <w:color w:val="auto"/>
        </w:rPr>
      </w:pPr>
    </w:p>
    <w:p>
      <w:pPr>
        <w:ind w:right="320" w:firstLine="396"/>
        <w:spacing w:after="0" w:line="282" w:lineRule="auto"/>
        <w:rPr>
          <w:sz w:val="20"/>
          <w:szCs w:val="20"/>
          <w:color w:val="auto"/>
        </w:rPr>
      </w:pPr>
      <w:r>
        <w:rPr>
          <w:rFonts w:ascii="Times New Roman" w:cs="Times New Roman" w:eastAsia="Times New Roman" w:hAnsi="Times New Roman"/>
          <w:sz w:val="18"/>
          <w:szCs w:val="18"/>
          <w:color w:val="auto"/>
        </w:rPr>
        <w:t>Dorchester Minerals, L.P. is a Dallas based owner of producing and non-producing oil and natural gas mineral, royalty, overriding royalty, and net profits interests located in 28 states. Its common units trade on the NASDAQ Global Select Market under the symbol DMLP.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right="40" w:firstLine="396"/>
        <w:spacing w:after="0" w:line="255" w:lineRule="auto"/>
        <w:rPr>
          <w:sz w:val="20"/>
          <w:szCs w:val="20"/>
          <w:color w:val="auto"/>
        </w:rPr>
      </w:pPr>
      <w:r>
        <w:rPr>
          <w:rFonts w:ascii="Times New Roman" w:cs="Times New Roman" w:eastAsia="Times New Roman" w:hAnsi="Times New Roman"/>
          <w:sz w:val="18"/>
          <w:szCs w:val="18"/>
          <w:color w:val="auto"/>
        </w:rPr>
        <w:t>Portions of this document may constitute "forward-looking statements" as defined by federal law. Such statements are subject to certain risks, uncertainties and assumptions. Should one or more of these risks or uncertainties materialize, or should underlying assumptions prove incorrect, actual results may vary materially from those anticipated, estimated or projected. Examples of such uncertainties and risk factors include, but are not limited to, changes in the price or demand for oil and natural gas, changes in the operations on or development of the Partnership’s properties, changes in economic and industry conditions and changes in regulatory requirements (including changes in environmental requirements) and the Partnership’s financial position, business strategy and other plans and objectives for future operations. These and other factors are set forth in the Partnership's filings with the Securities and Exchange Commission.</w:t>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2026-03-16T15:09:04Z</dcterms:created>
  <dcterms:modified xsi:type="dcterms:W3CDTF">2026-03-16T15:09:04Z</dcterms:modified>
</cp:coreProperties>
</file>