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8"/>
        </w:rPr>
      </w:pPr>
      <w:bookmarkStart w:id="0" w:name="dmlp20261022_8k.htm"/>
      <w:bookmarkStart w:id="1" w:name="ksdmlp20261022_8k"/>
      <w:bookmarkEnd w:id="0"/>
      <w:bookmarkEnd w:id="1"/>
      <w:r>
        <w:rPr>
          <w:rFonts w:ascii="Times New Roman" w:hAnsi="Times New Roman"/>
          <w:caps w:val="false"/>
          <w:smallCaps w:val="false"/>
          <w:sz w:val="28"/>
        </w:rPr>
        <w:t>UNITED STATES</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SECURITIES AND EXCHANGE COMMISSION</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 8-K</w:t>
      </w:r>
      <w:r>
        <w:rPr>
          <w:rFonts w:ascii="Times New Roman" w:hAnsi="Times New Roman"/>
          <w:caps w:val="false"/>
          <w:smallCaps w:val="false"/>
          <w:sz w:val="3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u w:val="single"/>
        </w:rPr>
        <w:t>October 22,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u w:val="single"/>
        </w:rPr>
        <w:t>DORCHESTER MINERALS, L.P.</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60"/>
        <w:gridCol w:w="2360"/>
        <w:gridCol w:w="60"/>
        <w:gridCol w:w="1100"/>
        <w:gridCol w:w="60"/>
        <w:gridCol w:w="1520"/>
        <w:gridCol w:w="60"/>
      </w:tblGrid>
      <w:tr>
        <w:trPr/>
        <w:tc>
          <w:tcPr>
            <w:tcW w:w="60" w:type="dxa"/>
            <w:tcBorders/>
            <w:vAlign w:val="center"/>
          </w:tcPr>
          <w:p>
            <w:pPr>
              <w:pStyle w:val="TableContents"/>
              <w:bidi w:val="0"/>
              <w:spacing w:before="0" w:after="0"/>
              <w:ind w:left="0" w:right="0" w:hanging="0"/>
              <w:jc w:val="left"/>
              <w:rPr/>
            </w:pPr>
            <w:r>
              <w:rPr/>
              <w:t> </w:t>
            </w:r>
          </w:p>
        </w:tc>
        <w:tc>
          <w:tcPr>
            <w:tcW w:w="23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000-50175</w:t>
            </w:r>
          </w:p>
        </w:tc>
        <w:tc>
          <w:tcPr>
            <w:tcW w:w="60" w:type="dxa"/>
            <w:tcBorders/>
            <w:vAlign w:val="center"/>
          </w:tcPr>
          <w:p>
            <w:pPr>
              <w:pStyle w:val="TableContents"/>
              <w:bidi w:val="0"/>
              <w:spacing w:before="0" w:after="0"/>
              <w:ind w:left="0" w:right="0" w:hanging="0"/>
              <w:jc w:val="left"/>
              <w:rPr/>
            </w:pPr>
            <w:r>
              <w:rPr/>
              <w:t> </w:t>
            </w:r>
          </w:p>
        </w:tc>
        <w:tc>
          <w:tcPr>
            <w:tcW w:w="15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81-0551518</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3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3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w:t>
            </w:r>
          </w:p>
        </w:tc>
        <w:tc>
          <w:tcPr>
            <w:tcW w:w="60"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3838 Oak Lawn, Suite 300, Dallas, Texas75219</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the registrant under any of the following provisions (</w:t>
      </w:r>
      <w:r>
        <w:rPr>
          <w:rFonts w:ascii="Times New Roman" w:hAnsi="Times New Roman"/>
          <w:caps w:val="false"/>
          <w:smallCaps w:val="false"/>
          <w:sz w:val="20"/>
          <w:u w:val="single"/>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0" w:type="dxa"/>
        <w:tblLayout w:type="fixed"/>
        <w:tblCellMar>
          <w:top w:w="0" w:type="dxa"/>
          <w:left w:w="0" w:type="dxa"/>
          <w:bottom w:w="28" w:type="dxa"/>
          <w:right w:w="0" w:type="dxa"/>
        </w:tblCellMar>
      </w:tblPr>
      <w:tblGrid>
        <w:gridCol w:w="4670"/>
        <w:gridCol w:w="60"/>
        <w:gridCol w:w="1610"/>
        <w:gridCol w:w="60"/>
        <w:gridCol w:w="3695"/>
      </w:tblGrid>
      <w:tr>
        <w:trPr/>
        <w:tc>
          <w:tcPr>
            <w:tcW w:w="46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46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DMLP</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firstLine="1800"/>
        <w:jc w:val="both"/>
        <w:rPr>
          <w:caps w:val="false"/>
          <w:smallCaps w:val="false"/>
        </w:rPr>
      </w:pPr>
      <w:r>
        <w:rPr>
          <w:caps w:val="false"/>
          <w:smallCaps w:val="false"/>
        </w:rPr>
        <w:t>                                </w:t>
      </w:r>
    </w:p>
    <w:tbl>
      <w:tblPr>
        <w:tblW w:w="2687" w:type="dxa"/>
        <w:jc w:val="left"/>
        <w:tblInd w:w="0" w:type="dxa"/>
        <w:tblLayout w:type="fixed"/>
        <w:tblCellMar>
          <w:top w:w="28" w:type="dxa"/>
          <w:left w:w="28" w:type="dxa"/>
          <w:bottom w:w="28" w:type="dxa"/>
          <w:right w:w="28" w:type="dxa"/>
        </w:tblCellMar>
      </w:tblPr>
      <w:tblGrid>
        <w:gridCol w:w="2326"/>
        <w:gridCol w:w="361"/>
      </w:tblGrid>
      <w:tr>
        <w:trPr/>
        <w:tc>
          <w:tcPr>
            <w:tcW w:w="232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Emerging growth company</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The Registrant is furnishing its press release dated October 22, 2026, which announces the Registrant's cash distribution for the quarter ended September 30, 2026.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On October 22, 2026, the Registrant issued a press release announcing the Registrant’s cash distribution for the quarter ended September 30, 2026.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disclosed in this report under Item 7.01, including Exhibit 99.1, is being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466"/>
        <w:gridCol w:w="9578"/>
      </w:tblGrid>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9578" w:type="dxa"/>
            <w:tcBorders/>
            <w:vAlign w:val="center"/>
          </w:tcPr>
          <w:p>
            <w:pPr>
              <w:pStyle w:val="TableContents"/>
              <w:bidi w:val="0"/>
              <w:spacing w:before="0" w:after="0"/>
              <w:ind w:left="0" w:right="0" w:hanging="0"/>
              <w:jc w:val="left"/>
              <w:rPr/>
            </w:pPr>
            <w:hyperlink w:anchor="ex_1029911.htm">
              <w:r>
                <w:rPr>
                  <w:rStyle w:val="InternetLink"/>
                  <w:rFonts w:ascii="Times New Roman" w:hAnsi="Times New Roman"/>
                  <w:caps w:val="false"/>
                  <w:smallCaps w:val="false"/>
                  <w:sz w:val="20"/>
                </w:rPr>
                <w:t>Press Release dated October 22, 2026, announcing the Registrant's cash distribution for the quarter ended September 30, 2026. The press release is attached hereto as Exhibit 99.1 and incorporated herein by reference.</w:t>
              </w:r>
            </w:hyperlink>
          </w:p>
        </w:tc>
      </w:tr>
    </w:tbl>
    <w:p>
      <w:pPr>
        <w:pStyle w:val="TextBody"/>
        <w:bidi w:val="0"/>
        <w:spacing w:before="0" w:after="0"/>
        <w:ind w:left="0" w:right="0" w:hanging="0"/>
        <w:jc w:val="left"/>
        <w:rPr>
          <w:caps w:val="false"/>
          <w:smallCaps w:val="false"/>
        </w:rPr>
      </w:pPr>
      <w:r>
        <w:rPr>
          <w:caps w:val="false"/>
          <w:smallCaps w:val="false"/>
        </w:rPr>
        <w:t> </w:t>
      </w:r>
    </w:p>
    <w:tbl>
      <w:tblPr>
        <w:tblW w:w="5468" w:type="dxa"/>
        <w:jc w:val="left"/>
        <w:tblInd w:w="0" w:type="dxa"/>
        <w:tblLayout w:type="fixed"/>
        <w:tblCellMar>
          <w:top w:w="28" w:type="dxa"/>
          <w:left w:w="28" w:type="dxa"/>
          <w:bottom w:w="28" w:type="dxa"/>
          <w:right w:w="28" w:type="dxa"/>
        </w:tblCellMar>
      </w:tblPr>
      <w:tblGrid>
        <w:gridCol w:w="161"/>
        <w:gridCol w:w="146"/>
        <w:gridCol w:w="5161"/>
      </w:tblGrid>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Item 2.02.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7183" w:type="dxa"/>
        <w:jc w:val="left"/>
        <w:tblInd w:w="0" w:type="dxa"/>
        <w:tblLayout w:type="fixed"/>
        <w:tblCellMar>
          <w:top w:w="28" w:type="dxa"/>
          <w:left w:w="28" w:type="dxa"/>
          <w:bottom w:w="28" w:type="dxa"/>
          <w:right w:w="28" w:type="dxa"/>
        </w:tblCellMar>
      </w:tblPr>
      <w:tblGrid>
        <w:gridCol w:w="161"/>
        <w:gridCol w:w="421"/>
        <w:gridCol w:w="6601"/>
      </w:tblGrid>
      <w:tr>
        <w:trPr/>
        <w:tc>
          <w:tcPr>
            <w:tcW w:w="16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u w:val="single"/>
        </w:rPr>
        <w:t>DORCHESTER MINERALS, L.P.</w:t>
      </w:r>
      <w:r>
        <w:rPr>
          <w:rFonts w:ascii="Times New Roman" w:hAnsi="Times New Roman"/>
          <w:caps w:val="false"/>
          <w:smallCaps w:val="false"/>
          <w:sz w:val="20"/>
        </w:rPr>
        <w:t xml:space="preserve">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Dorchester Minerals Management LP</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Dorchester Minerals Management GP LLC</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22, 2026</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Leslie A. Moriyama</w:t>
      </w:r>
      <w:r>
        <w:rPr>
          <w:rFonts w:ascii="Times New Roman" w:hAnsi="Times New Roman"/>
          <w:caps w:val="false"/>
          <w:smallCaps w:val="false"/>
          <w:sz w:val="20"/>
        </w:rPr>
        <w:t xml:space="preserve"> </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Leslie A. Moriyama</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spacing w:before="0" w:after="0"/>
        <w:ind w:left="4320" w:right="0" w:firstLine="72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 w:name="ex_1029911.htm"/>
      <w:bookmarkStart w:id="3" w:name="ksex_1029911"/>
      <w:bookmarkEnd w:id="2"/>
      <w:bookmarkEnd w:id="3"/>
      <w:r>
        <w:rPr>
          <w:rFonts w:ascii="Times New Roman" w:hAnsi="Times New Roman"/>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3275"/>
        <w:gridCol w:w="4550"/>
      </w:tblGrid>
      <w:tr>
        <w:trPr/>
        <w:tc>
          <w:tcPr>
            <w:tcW w:w="3275" w:type="dxa"/>
            <w:tcBorders/>
            <w:vAlign w:val="center"/>
          </w:tcPr>
          <w:p>
            <w:pPr>
              <w:pStyle w:val="TableContents"/>
              <w:bidi w:val="0"/>
              <w:spacing w:before="0" w:after="0"/>
              <w:ind w:left="0" w:right="0" w:hanging="0"/>
              <w:jc w:val="left"/>
              <w:rPr>
                <w:rFonts w:ascii="Times New Roman" w:hAnsi="Times New Roman"/>
                <w:caps w:val="false"/>
                <w:smallCaps w:val="false"/>
                <w:sz w:val="44"/>
              </w:rPr>
            </w:pPr>
            <w:r>
              <w:rPr>
                <w:rFonts w:ascii="Times New Roman" w:hAnsi="Times New Roman"/>
                <w:caps w:val="false"/>
                <w:smallCaps w:val="false"/>
                <w:sz w:val="44"/>
              </w:rPr>
              <w:t>NEWS RELEASE</w:t>
            </w:r>
          </w:p>
        </w:tc>
        <w:tc>
          <w:tcPr>
            <w:tcW w:w="4550" w:type="dxa"/>
            <w:tcBorders/>
            <w:vAlign w:val="center"/>
          </w:tcPr>
          <w:p>
            <w:pPr>
              <w:pStyle w:val="TableContents"/>
              <w:bidi w:val="0"/>
              <w:spacing w:before="0" w:after="0"/>
              <w:ind w:left="0" w:right="0" w:hanging="0"/>
              <w:jc w:val="left"/>
              <w:rPr>
                <w:rFonts w:ascii="Times New Roman" w:hAnsi="Times New Roman"/>
                <w:caps w:val="false"/>
                <w:smallCaps w:val="false"/>
                <w:sz w:val="44"/>
              </w:rPr>
            </w:pPr>
            <w:r>
              <w:rPr>
                <w:rFonts w:ascii="Times New Roman" w:hAnsi="Times New Roman"/>
                <w:caps w:val="false"/>
                <w:smallCaps w:val="false"/>
                <w:sz w:val="44"/>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1325"/>
        <w:gridCol w:w="1685"/>
        <w:gridCol w:w="3125"/>
      </w:tblGrid>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Release Date:</w:t>
            </w:r>
          </w:p>
        </w:tc>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October 22, 2026</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3838 Oak Lawn Ave., Suite 300</w:t>
            </w:r>
          </w:p>
        </w:tc>
      </w:tr>
      <w:tr>
        <w:trPr/>
        <w:tc>
          <w:tcPr>
            <w:tcW w:w="1325" w:type="dxa"/>
            <w:tcBorders/>
            <w:vAlign w:val="center"/>
          </w:tcPr>
          <w:p>
            <w:pPr>
              <w:pStyle w:val="TableContents"/>
              <w:bidi w:val="0"/>
              <w:spacing w:before="0" w:after="0"/>
              <w:ind w:left="0" w:right="0" w:hanging="0"/>
              <w:jc w:val="left"/>
              <w:rPr/>
            </w:pPr>
            <w:r>
              <w:rPr/>
              <w:t> </w:t>
            </w:r>
          </w:p>
        </w:tc>
        <w:tc>
          <w:tcPr>
            <w:tcW w:w="1685" w:type="dxa"/>
            <w:tcBorders/>
            <w:vAlign w:val="center"/>
          </w:tcPr>
          <w:p>
            <w:pPr>
              <w:pStyle w:val="TableContents"/>
              <w:bidi w:val="0"/>
              <w:spacing w:before="0" w:after="0"/>
              <w:ind w:left="0" w:right="0" w:hanging="0"/>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Dallas, Texas 75219-4541</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Contact:</w:t>
            </w:r>
          </w:p>
        </w:tc>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Martye Miller</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(214) 559-0300</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b/>
          <w:caps w:val="false"/>
          <w:smallCaps w:val="false"/>
          <w:sz w:val="22"/>
        </w:rPr>
        <w:t>Dorchester Minerals, L.P. Announces Its Third Quarter Distribution</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(NASDAQ:DMLP) announced today the Partnership’s third quarter 2026 cash distribution. The distribution of $0.882297 per common unit represents activity for the three-month period ended September 30, 2026 and is payable on November 12, 2026 to common unitholders of record as of November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receipts attributable to the Partnership’s Royalty Properties during the third quarter totaled approximately $37.0 million. Approximately 80% of these receipts reflect oil sales during June 2026 through August 2026 and natural gas sales during May 2026 through July 2026, and approximately 20% from prior sales periods. Cash receipts attributable to the Partnership’s Net Profits Interest during the third quarter totaled approximately $3.0 million. Approximately 50% of these receipts reflect oil sales and natural gas sales during May 2026 through July 2026, and approximately 50% from prior sales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receipts attributable to lease bonus and other income during the third quarter totaled approximately $6.3 million. Contributed cash attributed to the acquisition that closed on July 31, 2026, totaled approximately $4.4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Dorchester Minerals, L.P. is a Dallas-based owner of producing and non-producing oil and natural gas mineral, royalty, overriding royalty, net profits, and leasehold interests located in 28 states. Its common units trade on the Nasdaq Global Select Market under the symbol 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release serves as qualified notice to nominees as provided for under Treasury Regulation Section 1.1446-4(b)(4) and (d). Although a portion of Dorchester Minerals, L.P.’s income may not be effectively connected income and may be subject to alternative withholding procedures, brokers and nominees should treat 100% of Dorchester Minerals, L.P.’s distributions to non-U.S. investors as being attributable to income that is effectively connected with a United States trade or business. Accordingly, Dorchester Minerals, L.P.’s distributions to non-U.S. investors are subject to federal income tax withholding at the highest marginal rate for individuals or corporations, as applicable. Nominees, and not Dorchester Minerals, L.P., are treated as withholding agents responsible for withholding on distributions received by them on behalf of non-U.S.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60"/>
        <w:jc w:val="both"/>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1113</Words>
  <Characters>6427</Characters>
  <CharactersWithSpaces>7659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