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0" w:right="0" w:hanging="0"/>
        <w:jc w:val="center"/>
        <w:rPr>
          <w:rFonts w:ascii="Times New Roman" w:hAnsi="Times New Roman"/>
          <w:caps w:val="false"/>
          <w:smallCaps w:val="false"/>
          <w:sz w:val="20"/>
        </w:rPr>
      </w:pPr>
      <w:bookmarkStart w:id="0" w:name="dmlp20260706_8k.htm"/>
      <w:bookmarkStart w:id="1" w:name="ksdmlp20260706_8k"/>
      <w:bookmarkEnd w:id="0"/>
      <w:bookmarkEnd w:id="1"/>
      <w:r>
        <w:rPr>
          <w:rFonts w:ascii="Times New Roman" w:hAnsi="Times New Roman"/>
          <w:caps w:val="false"/>
          <w:smallCaps w:val="false"/>
          <w:sz w:val="24"/>
        </w:rPr>
        <w:t>UNITED STATES</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4"/>
        </w:rPr>
        <w:t>SECURITIES AND EXCHANGE COMMISSION</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4"/>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4"/>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caps w:val="false"/>
          <w:smallCaps w:val="false"/>
          <w:sz w:val="20"/>
          <w:u w:val="single"/>
        </w:rPr>
        <w:t>July 3,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4"/>
          <w:u w:val="single"/>
        </w:rPr>
        <w:t>DORCHESTER MINERALS, L.P.</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360"/>
        <w:gridCol w:w="60"/>
        <w:gridCol w:w="1100"/>
        <w:gridCol w:w="60"/>
        <w:gridCol w:w="1520"/>
      </w:tblGrid>
      <w:tr>
        <w:trPr/>
        <w:tc>
          <w:tcPr>
            <w:tcW w:w="23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000-50175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81-0551518</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u w:val="single"/>
        </w:rPr>
        <w:t>3838 Oak Lawn, Suite 300, Dallas, Texas75219</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u w:val="single"/>
        </w:rPr>
        <w:t>N/A</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w:t>
        <w:noBreakHyphen/>
        <w:t>K filing is intended to simultaneously satisfy the filing obligation of the registrant under any of the following provisions (see General Instruction A.2. below):</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w:t>
              <w:noBreakHyphen/>
              <w:t>12 under the Exchange Act (17 CFR 240.14a</w:t>
              <w:noBreakHyphen/>
              <w:t>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w:t>
              <w:noBreakHyphen/>
              <w:t>commencement communications pursuant to Rule 14d</w:t>
              <w:noBreakHyphen/>
              <w:t>2(b) under the Exchange Act (17 CFR 240.14d</w:t>
              <w:noBreakHyphen/>
              <w:t>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w:t>
              <w:noBreakHyphen/>
              <w:t>commencement communications pursuant to Rule 13e</w:t>
              <w:noBreakHyphen/>
              <w:t>4(c) under the Exchange Act (17 CFR 240.13e</w:t>
              <w:noBreakHyphen/>
              <w:t>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780" w:type="dxa"/>
        <w:jc w:val="left"/>
        <w:tblInd w:w="0" w:type="dxa"/>
        <w:tblLayout w:type="fixed"/>
        <w:tblCellMar>
          <w:top w:w="0" w:type="dxa"/>
          <w:left w:w="0" w:type="dxa"/>
          <w:bottom w:w="0" w:type="dxa"/>
          <w:right w:w="0" w:type="dxa"/>
        </w:tblCellMar>
      </w:tblPr>
      <w:tblGrid>
        <w:gridCol w:w="4670"/>
        <w:gridCol w:w="1535"/>
        <w:gridCol w:w="3575"/>
      </w:tblGrid>
      <w:tr>
        <w:trPr/>
        <w:tc>
          <w:tcPr>
            <w:tcW w:w="4670" w:type="dxa"/>
            <w:tcBorders/>
            <w:vAlign w:val="center"/>
          </w:tcPr>
          <w:p>
            <w:pPr>
              <w:pStyle w:val="TableContents"/>
              <w:bidi w:val="0"/>
              <w:spacing w:before="0" w:after="0"/>
              <w:ind w:left="16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Name of each exchange on which registered</w:t>
            </w:r>
          </w:p>
        </w:tc>
      </w:tr>
      <w:tr>
        <w:trPr/>
        <w:tc>
          <w:tcPr>
            <w:tcW w:w="4670" w:type="dxa"/>
            <w:tcBorders/>
            <w:vAlign w:val="center"/>
          </w:tcPr>
          <w:p>
            <w:pPr>
              <w:pStyle w:val="TableContents"/>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DMLP</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w:t>
        <w:noBreakHyphen/>
        <w:t>2 of the Securities Exchange Act of 1934 (§240.12b</w:t>
        <w:noBreakHyphen/>
        <w:t>2 of this chapter).</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60" w:right="0" w:hanging="0"/>
        <w:jc w:val="left"/>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720"/>
        <w:jc w:val="both"/>
        <w:rPr>
          <w:rFonts w:ascii="Times New Roman" w:hAnsi="Times New Roman"/>
          <w:caps w:val="false"/>
          <w:smallCaps w:val="false"/>
          <w:sz w:val="20"/>
        </w:rPr>
      </w:pPr>
      <w:r>
        <w:rPr>
          <w:rFonts w:ascii="Times New Roman" w:hAnsi="Times New Roman"/>
          <w:caps w:val="false"/>
          <w:smallCaps w:val="false"/>
          <w:sz w:val="20"/>
        </w:rPr>
        <w:t>On July 6, 2026, the Partnership issued a press release announcing the entry into a contribution and exchange agreement (the “Press Release”). A copy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720"/>
        <w:jc w:val="both"/>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in this Item 7.01 and Exhibit 99.1 is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hanging="0"/>
        <w:jc w:val="left"/>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720"/>
        <w:jc w:val="both"/>
        <w:rPr>
          <w:rFonts w:ascii="Times New Roman" w:hAnsi="Times New Roman"/>
          <w:caps w:val="false"/>
          <w:smallCaps w:val="false"/>
          <w:sz w:val="20"/>
        </w:rPr>
      </w:pPr>
      <w:r>
        <w:rPr>
          <w:rFonts w:ascii="Times New Roman" w:hAnsi="Times New Roman"/>
          <w:caps w:val="false"/>
          <w:smallCaps w:val="false"/>
          <w:sz w:val="20"/>
        </w:rPr>
        <w:t>On July 3, 2026, the Partnership entered into a non-taxable contribution and exchange agreement with unrelated third parties to acquire mineral and royalty interests totaling approximately 3,100 net royalty acres located in five counties across the Williston Basin in North Dakota. Cash received by the contributing entities on or after April 1, 2026, will be contributed to the Partnership at closing. The contributing entities will convey their interests to the Partnership in exchange for 850,000 common units representing limited partnership interests in Dorchester Minerals, L.P., as adjusted pursuant to the terms of the contribution and exchange agreement. The acquisition is expected to close on July 31,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26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245"/>
        <w:gridCol w:w="755"/>
        <w:gridCol w:w="6470"/>
      </w:tblGrid>
      <w:tr>
        <w:trPr/>
        <w:tc>
          <w:tcPr>
            <w:tcW w:w="245" w:type="dxa"/>
            <w:tcBorders/>
            <w:vAlign w:val="center"/>
          </w:tcPr>
          <w:p>
            <w:pPr>
              <w:pStyle w:val="TableContents"/>
              <w:bidi w:val="0"/>
              <w:spacing w:before="0" w:after="0"/>
              <w:ind w:left="26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755"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Exhibits.</w:t>
            </w:r>
          </w:p>
        </w:tc>
        <w:tc>
          <w:tcPr>
            <w:tcW w:w="6470" w:type="dxa"/>
            <w:tcBorders/>
            <w:vAlign w:val="center"/>
          </w:tcPr>
          <w:p>
            <w:pPr>
              <w:pStyle w:val="TableContents"/>
              <w:bidi w:val="0"/>
              <w:spacing w:before="0" w:after="0"/>
              <w:ind w:left="0" w:right="0" w:hanging="0"/>
              <w:jc w:val="left"/>
              <w:rPr/>
            </w:pPr>
            <w:r>
              <w:rPr/>
              <w:t> </w:t>
            </w:r>
          </w:p>
        </w:tc>
      </w:tr>
      <w:tr>
        <w:trPr/>
        <w:tc>
          <w:tcPr>
            <w:tcW w:w="24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r>
      <w:tr>
        <w:trPr/>
        <w:tc>
          <w:tcPr>
            <w:tcW w:w="24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470" w:type="dxa"/>
            <w:tcBorders/>
            <w:vAlign w:val="center"/>
          </w:tcPr>
          <w:p>
            <w:pPr>
              <w:pStyle w:val="TableContents"/>
              <w:bidi w:val="0"/>
              <w:spacing w:before="0" w:after="0"/>
              <w:ind w:left="0" w:right="0" w:hanging="0"/>
              <w:jc w:val="left"/>
              <w:rPr/>
            </w:pPr>
            <w:hyperlink w:anchor="ex_984787.htm">
              <w:r>
                <w:rPr>
                  <w:rStyle w:val="InternetLink"/>
                  <w:rFonts w:ascii="Times New Roman" w:hAnsi="Times New Roman"/>
                  <w:caps w:val="false"/>
                  <w:smallCaps w:val="false"/>
                  <w:sz w:val="20"/>
                  <w:u w:val="single"/>
                </w:rPr>
                <w:t>Press release dated July 6, 2026.</w:t>
              </w:r>
            </w:hyperlink>
          </w:p>
        </w:tc>
      </w:tr>
      <w:tr>
        <w:trPr/>
        <w:tc>
          <w:tcPr>
            <w:tcW w:w="24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r>
      <w:tr>
        <w:trPr/>
        <w:tc>
          <w:tcPr>
            <w:tcW w:w="24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98" w:type="dxa"/>
        <w:jc w:val="left"/>
        <w:tblInd w:w="0" w:type="dxa"/>
        <w:tblLayout w:type="fixed"/>
        <w:tblCellMar>
          <w:top w:w="0" w:type="dxa"/>
          <w:left w:w="0" w:type="dxa"/>
          <w:bottom w:w="0" w:type="dxa"/>
          <w:right w:w="0" w:type="dxa"/>
        </w:tblCellMar>
      </w:tblPr>
      <w:tblGrid>
        <w:gridCol w:w="1505"/>
        <w:gridCol w:w="63"/>
        <w:gridCol w:w="400"/>
        <w:gridCol w:w="226"/>
        <w:gridCol w:w="2044"/>
        <w:gridCol w:w="60"/>
      </w:tblGrid>
      <w:tr>
        <w:trPr/>
        <w:tc>
          <w:tcPr>
            <w:tcW w:w="1505" w:type="dxa"/>
            <w:tcBorders/>
            <w:vAlign w:val="center"/>
          </w:tcPr>
          <w:p>
            <w:pPr>
              <w:pStyle w:val="TableContents"/>
              <w:bidi w:val="0"/>
              <w:spacing w:before="0" w:after="0"/>
              <w:ind w:left="0" w:right="0" w:hanging="0"/>
              <w:jc w:val="left"/>
              <w:rPr/>
            </w:pPr>
            <w:r>
              <w:rPr/>
              <w:t> </w:t>
            </w:r>
          </w:p>
        </w:tc>
        <w:tc>
          <w:tcPr>
            <w:tcW w:w="2733" w:type="dxa"/>
            <w:gridSpan w:val="4"/>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DORCHESTER MINERALS, L.P.</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6, 2026</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By:</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20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J. Ehrman</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J. Ehrman</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0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b/>
          <w:caps w:val="false"/>
          <w:smallCaps w:val="false"/>
          <w:sz w:val="20"/>
        </w:rPr>
        <w:t>INDEX TO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28" w:type="dxa"/>
          <w:right w:w="0" w:type="dxa"/>
        </w:tblCellMar>
      </w:tblPr>
      <w:tblGrid>
        <w:gridCol w:w="380"/>
        <w:gridCol w:w="2615"/>
      </w:tblGrid>
      <w:tr>
        <w:trPr/>
        <w:tc>
          <w:tcPr>
            <w:tcW w:w="3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Item</w:t>
            </w:r>
          </w:p>
        </w:tc>
        <w:tc>
          <w:tcPr>
            <w:tcW w:w="261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w:t>
            </w:r>
          </w:p>
        </w:tc>
      </w:tr>
      <w:tr>
        <w:trPr/>
        <w:tc>
          <w:tcPr>
            <w:tcW w:w="380" w:type="dxa"/>
            <w:tcBorders/>
            <w:tcMar>
              <w:bottom w:w="0" w:type="dxa"/>
            </w:tcMar>
            <w:vAlign w:val="center"/>
          </w:tcPr>
          <w:p>
            <w:pPr>
              <w:pStyle w:val="TableContents"/>
              <w:bidi w:val="0"/>
              <w:spacing w:before="0" w:after="0"/>
              <w:ind w:left="0" w:right="0" w:hanging="0"/>
              <w:jc w:val="left"/>
              <w:rPr/>
            </w:pPr>
            <w:r>
              <w:rPr/>
              <w:t> </w:t>
            </w:r>
          </w:p>
        </w:tc>
        <w:tc>
          <w:tcPr>
            <w:tcW w:w="2615" w:type="dxa"/>
            <w:tcBorders/>
            <w:tcMar>
              <w:bottom w:w="0" w:type="dxa"/>
            </w:tcMar>
            <w:vAlign w:val="center"/>
          </w:tcPr>
          <w:p>
            <w:pPr>
              <w:pStyle w:val="TableContents"/>
              <w:bidi w:val="0"/>
              <w:spacing w:before="0" w:after="0"/>
              <w:ind w:left="0" w:right="0" w:hanging="0"/>
              <w:jc w:val="left"/>
              <w:rPr/>
            </w:pPr>
            <w:r>
              <w:rPr/>
              <w:t> </w:t>
            </w:r>
          </w:p>
        </w:tc>
      </w:tr>
      <w:tr>
        <w:trPr/>
        <w:tc>
          <w:tcPr>
            <w:tcW w:w="3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26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 release dated July 6, 2026.</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 w:name="ex_984787.htm"/>
      <w:bookmarkStart w:id="3" w:name="ksex_984787"/>
      <w:bookmarkEnd w:id="2"/>
      <w:bookmarkEnd w:id="3"/>
      <w:r>
        <w:rPr>
          <w:rFonts w:ascii="Times New Roman" w:hAnsi="Times New Roman"/>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2990"/>
        <w:gridCol w:w="4280"/>
      </w:tblGrid>
      <w:tr>
        <w:trPr/>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40"/>
              </w:rPr>
            </w:pPr>
            <w:r>
              <w:rPr>
                <w:rFonts w:ascii="Times New Roman" w:hAnsi="Times New Roman"/>
                <w:caps w:val="false"/>
                <w:smallCaps w:val="false"/>
                <w:sz w:val="40"/>
              </w:rPr>
              <w:t>NEWS RELEASE</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40"/>
              </w:rPr>
            </w:pPr>
            <w:r>
              <w:rPr>
                <w:rFonts w:ascii="Times New Roman" w:hAnsi="Times New Roman"/>
                <w:caps w:val="false"/>
                <w:smallCaps w:val="false"/>
                <w:sz w:val="40"/>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325"/>
        <w:gridCol w:w="1325"/>
        <w:gridCol w:w="3125"/>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Release Date:</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July 6, 2026</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3838 Oak Lawn Ave., Suite 300</w:t>
            </w:r>
          </w:p>
        </w:tc>
      </w:tr>
      <w:tr>
        <w:trPr/>
        <w:tc>
          <w:tcPr>
            <w:tcW w:w="1325" w:type="dxa"/>
            <w:tcBorders/>
            <w:vAlign w:val="center"/>
          </w:tcPr>
          <w:p>
            <w:pPr>
              <w:pStyle w:val="TableContents"/>
              <w:bidi w:val="0"/>
              <w:spacing w:before="0" w:after="0"/>
              <w:ind w:left="0" w:right="0" w:hanging="0"/>
              <w:jc w:val="left"/>
              <w:rPr/>
            </w:pPr>
            <w:r>
              <w:rPr/>
              <w:t> </w:t>
            </w:r>
          </w:p>
        </w:tc>
        <w:tc>
          <w:tcPr>
            <w:tcW w:w="1325" w:type="dxa"/>
            <w:tcBorders/>
            <w:vAlign w:val="center"/>
          </w:tcPr>
          <w:p>
            <w:pPr>
              <w:pStyle w:val="TableContents"/>
              <w:bidi w:val="0"/>
              <w:spacing w:before="0" w:after="0"/>
              <w:ind w:left="0" w:right="0" w:hanging="0"/>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Dallas, Texas 75219-4541</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Contact:</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Martye Miller</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(214) 559-0300</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Dorchester Minerals, L.P. Announces Agreement to Acquire Mineral and Royalty Interests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(the “Partnership”) announces today that it has entered into an agreement to acquire mineral and royalty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July 3, 2026, the Partnership entered into a non-taxable contribution and exchange agreement with unrelated third parties to acquire mineral and royalty interests totaling approximately 3,100 net royalty acres located in five counties across the Williston Basin in North Dakota. Cash received by the contributing entities on or after April 1, 2026, will be contributed to the Partnership at closing. The contributing entities will convey their interests to the Partnership in exchange for 850,000 common units representing limited partnership interests in Dorchester Minerals, L.P., as adjusted pursuant to the terms of the contribution and exchange agreement. The acquisition is expected to close on July 31,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Dorchester Minerals, L.P. is a Dallas-based owner of oil and natural gas mineral, royalty, overriding royalty, net profits, and leasehold interests located in 28 states. Its common units trade on the NASDAQ Global Select Market under the symbol DMLP.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5527</Characters>
  <CharactersWithSpaces>6540</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