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39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3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 w:right="460"/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DORCHESTER MINERALS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OPERATING LP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(Middle)</w:t>
            </w:r>
          </w:p>
        </w:tc>
      </w:tr>
      <w:tr>
        <w:trPr>
          <w:trHeight w:val="277"/>
        </w:trPr>
        <w:tc>
          <w:tcPr>
            <w:tcW w:w="2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3838 OAK LAWN AVE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4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75219</w:t>
            </w:r>
          </w:p>
        </w:tc>
      </w:tr>
      <w:tr>
        <w:trPr>
          <w:trHeight w:val="483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DORCHESTER MINERALS, L.P.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DMLP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Entity Under Common Control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66,016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Adoption date of referenced 10b5-1 plan is: 11-12-2025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A. Moriyama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6289" TargetMode="External"/><Relationship Id="rId14" Type="http://schemas.openxmlformats.org/officeDocument/2006/relationships/hyperlink" Target="http://www.sec.gov/cgi-bin/browse-edgar?action=getcompany&amp;CIK=0001172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2026-06-02T16:29:26Z</dcterms:created>
  <dcterms:modified xsi:type="dcterms:W3CDTF">2026-06-02T16:29:26Z</dcterms:modified>
</cp:coreProperties>
</file>