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January 22, 2026</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DORCHESTER MINERALS,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1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000-50175</w:t>
            </w:r>
          </w:p>
        </w:tc>
        <w:tc>
          <w:tcPr>
            <w:tcW w:w="3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8"/>
              </w:rPr>
              <w:t>81-0551518</w:t>
            </w:r>
          </w:p>
        </w:tc>
      </w:tr>
      <w:tr>
        <w:trPr>
          <w:trHeight w:val="191"/>
        </w:trPr>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54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w:t>
            </w:r>
          </w:p>
        </w:tc>
        <w:tc>
          <w:tcPr>
            <w:tcW w:w="5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54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3838 Oak Lawn, Suite 300, Dallas, Texas 75219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u w:val="single" w:color="auto"/>
          <w:color w:val="auto"/>
        </w:rPr>
        <w:t>214) 559-0300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0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00" w:type="dxa"/>
        <w:tblCellMar>
          <w:top w:w="0" w:type="dxa"/>
          <w:left w:w="0" w:type="dxa"/>
          <w:bottom w:w="0" w:type="dxa"/>
          <w:right w:w="0" w:type="dxa"/>
        </w:tblCellMar>
      </w:tblPr>
      <w:tr>
        <w:trPr>
          <w:trHeight w:val="23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4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Units Representing Limited</w:t>
            </w:r>
          </w:p>
        </w:tc>
        <w:tc>
          <w:tcPr>
            <w:tcW w:w="4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Partnership Interest</w:t>
            </w:r>
          </w:p>
        </w:tc>
        <w:tc>
          <w:tcPr>
            <w:tcW w:w="4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DMLP</w:t>
            </w:r>
          </w:p>
        </w:tc>
        <w:tc>
          <w:tcPr>
            <w:tcW w:w="42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700"/>
        <w:spacing w:after="0" w:line="207" w:lineRule="exact"/>
        <w:tabs>
          <w:tab w:leader="none" w:pos="7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76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ind w:left="1300" w:right="240"/>
        <w:spacing w:after="0" w:line="312" w:lineRule="auto"/>
        <w:rPr>
          <w:sz w:val="20"/>
          <w:szCs w:val="20"/>
          <w:color w:val="auto"/>
        </w:rPr>
      </w:pPr>
      <w:r>
        <w:rPr>
          <w:rFonts w:ascii="Times New Roman" w:cs="Times New Roman" w:eastAsia="Times New Roman" w:hAnsi="Times New Roman"/>
          <w:sz w:val="17"/>
          <w:szCs w:val="17"/>
          <w:color w:val="auto"/>
        </w:rPr>
        <w:t>The Registrant is furnishing its press release dated January 22, 2026, which announces the Registrant's cash distribution for the quarter ended December 31, 2025. The press release is attached hereto as Exhibit 99.1 to this Form 8-K and incorporated herein by reference.</w:t>
      </w:r>
    </w:p>
    <w:p>
      <w:pPr>
        <w:spacing w:after="0" w:line="1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left="1300" w:right="140"/>
        <w:spacing w:after="0" w:line="282" w:lineRule="auto"/>
        <w:rPr>
          <w:sz w:val="20"/>
          <w:szCs w:val="20"/>
          <w:color w:val="auto"/>
        </w:rPr>
      </w:pPr>
      <w:r>
        <w:rPr>
          <w:rFonts w:ascii="Times New Roman" w:cs="Times New Roman" w:eastAsia="Times New Roman" w:hAnsi="Times New Roman"/>
          <w:sz w:val="18"/>
          <w:szCs w:val="18"/>
          <w:color w:val="auto"/>
        </w:rPr>
        <w:t>On January 22, 2026, the Registrant issued a press release announcing the Registrant’s cash distribution for the quarter ended December 31, 2025. The press release is attached hereto as Exhibit 99.1 to this Form 8-K and incorporated herein by reference.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Limitation on Incorporation by Reference:</w:t>
      </w:r>
    </w:p>
    <w:p>
      <w:pPr>
        <w:spacing w:after="0" w:line="225" w:lineRule="exact"/>
        <w:rPr>
          <w:sz w:val="20"/>
          <w:szCs w:val="20"/>
          <w:color w:val="auto"/>
        </w:rPr>
      </w:pPr>
    </w:p>
    <w:p>
      <w:pPr>
        <w:ind w:left="1300" w:right="4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instructions B.2 and B.6 of Form 8-K, the information disclosed in this report under Item 7.01, including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960" w:hanging="656"/>
        <w:spacing w:after="0"/>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99.1</w:t>
            </w: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January 22, 2026, announcing the Registrant's cash distribution for the quarter ended December 31,</w:t>
            </w:r>
          </w:p>
        </w:tc>
      </w:tr>
      <w:tr>
        <w:trPr>
          <w:trHeight w:val="196"/>
        </w:trPr>
        <w:tc>
          <w:tcPr>
            <w:tcW w:w="2600" w:type="dxa"/>
            <w:vAlign w:val="bottom"/>
          </w:tcPr>
          <w:p>
            <w:pPr>
              <w:spacing w:after="0"/>
              <w:rPr>
                <w:sz w:val="17"/>
                <w:szCs w:val="17"/>
                <w:color w:val="auto"/>
              </w:rPr>
            </w:pPr>
          </w:p>
        </w:tc>
        <w:tc>
          <w:tcPr>
            <w:tcW w:w="68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2025. The press release is attached hereto as Exhibit 99.1 and incorporated herein by reference.</w:t>
            </w:r>
          </w:p>
        </w:tc>
        <w:tc>
          <w:tcPr>
            <w:tcW w:w="17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2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Item 2.02. Results of Operations and Financial Condition.</w:t>
            </w:r>
          </w:p>
        </w:tc>
      </w:tr>
      <w:tr>
        <w:trPr>
          <w:trHeight w:val="432"/>
        </w:trPr>
        <w:tc>
          <w:tcPr>
            <w:tcW w:w="2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104</w:t>
            </w: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01"/>
        </w:trPr>
        <w:tc>
          <w:tcPr>
            <w:tcW w:w="260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u w:val="single" w:color="auto"/>
          <w:color w:val="auto"/>
        </w:rPr>
        <w:t>DORCHESTER MINERALS, L.P.</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Dorchester Minerals Management LP</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Dorchester Minerals Management GP LLC</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22, 2026</w:t>
      </w:r>
    </w:p>
    <w:p>
      <w:pPr>
        <w:spacing w:after="0" w:line="27" w:lineRule="exact"/>
        <w:rPr>
          <w:sz w:val="20"/>
          <w:szCs w:val="20"/>
          <w:color w:val="auto"/>
        </w:rPr>
      </w:pPr>
    </w:p>
    <w:p>
      <w:pPr>
        <w:ind w:left="3960"/>
        <w:spacing w:after="0"/>
        <w:tabs>
          <w:tab w:leader="none" w:pos="4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Leslie A. Moriyama</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Leslie A. Moriyama</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340"/>
          </w:cols>
          <w:pgMar w:left="320" w:top="576"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Dorchester Minerals, L.P.</w:t>
      </w:r>
    </w:p>
    <w:p>
      <w:pPr>
        <w:spacing w:after="0" w:line="200" w:lineRule="exact"/>
        <w:rPr>
          <w:sz w:val="20"/>
          <w:szCs w:val="20"/>
          <w:color w:val="auto"/>
        </w:rPr>
      </w:pPr>
    </w:p>
    <w:p>
      <w:pPr>
        <w:sectPr>
          <w:pgSz w:w="11900" w:h="16838" w:orient="portrait"/>
          <w:cols w:equalWidth="0" w:num="2">
            <w:col w:w="3920" w:space="720"/>
            <w:col w:w="6600"/>
          </w:cols>
          <w:pgMar w:left="320" w:top="117" w:right="3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Release Date: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22, 2026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Martye Miller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3838 Oak Lawn Ave., Suite 300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 75219-4541</w:t>
      </w:r>
    </w:p>
    <w:p>
      <w:pPr>
        <w:spacing w:after="0"/>
        <w:rPr>
          <w:sz w:val="20"/>
          <w:szCs w:val="20"/>
          <w:color w:val="auto"/>
        </w:rPr>
      </w:pPr>
      <w:r>
        <w:rPr>
          <w:rFonts w:ascii="Times New Roman" w:cs="Times New Roman" w:eastAsia="Times New Roman" w:hAnsi="Times New Roman"/>
          <w:sz w:val="22"/>
          <w:szCs w:val="22"/>
          <w:color w:val="auto"/>
        </w:rPr>
        <w:t>(214) 559-0300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167005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200" w:space="560"/>
            <w:col w:w="3400" w:space="720"/>
            <w:col w:w="5360"/>
          </w:cols>
          <w:pgMar w:left="320" w:top="117" w:right="339" w:bottom="1440" w:gutter="0" w:footer="0" w:header="0"/>
          <w:type w:val="continuous"/>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Dorchester Minerals, L.P. Announces Its Fourth Quarter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DALLAS, TEXAS — Dorchester Minerals, L.P. (NASDAQ:DMLP) announced today the Partnership’s fourth quarter 2025 cash distribution. The distribution of $0.755712 per common unit represents activity for the three-month period ended December 31, 2025 and is payable on February 12, 2026 to common unitholders of record as of February 2, 2026.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receipts attributable to the Partnership’s Royalty Properties during the fourth quarter totaled approximately $32.2 million. Approximately 62% of these receipts reflect oil sales during September 2025 through November 2025 and natural gas sales during August 2025 through October 2025, and approximately 38% from prior sales periods. Cash Receipts attributable to the Partnership’s Net Profits Interest during the fourth quarter totaled approximately $4.0 million. Approximately 66% of these receipts reflect oil sales and natural gas sales during August 2025 through October 2025, and approximately 34% from prior sales periods.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receipts attributable to lease bonus and other income during the fourth quarter totaled approximately $6.0 million.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Dorchester Minerals, L.P. is a Dallas-based owner of producing and non-producing oil and natural gas mineral, royalty, overriding royalty, and net profits interests located in 28 states. Its common units trade on the Nasdaq Global Select Market under the symbol DMLP.</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release serves as qualified notice to nominees as provided for under Treasury Regulation Section 1.1446-4(b)(4) and (d). Although a portion of Dorchester Minerals, L.P.’s income may not be effectively connected income and may be subject to alternative withholding procedures, brokers and nominees should treat 100% of Dorchester Minerals, L.P.’s distributions to non-U.S. investors as being attributable to income that is effectively connected with a United States trade or business. Accordingly, Dorchester Minerals, L.P.’s distributions to non-U.S. investors are subject to federal income tax withholding at the highest marginal rate for individuals or corporations, as applicable. Nominees, and not Dorchester Minerals, L.P., are treated as withholding agents responsible for withholding on distributions received by them on behalf of non-U.S. investors.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8"/>
          <w:szCs w:val="18"/>
          <w:color w:val="auto"/>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2026-01-22T16:21:01Z</dcterms:created>
  <dcterms:modified xsi:type="dcterms:W3CDTF">2026-01-22T16:21:01Z</dcterms:modified>
</cp:coreProperties>
</file>