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caps w:val="false"/>
          <w:smallCaps w:val="false"/>
          <w:sz w:val="24"/>
        </w:rPr>
      </w:pPr>
      <w:bookmarkStart w:id="0" w:name="dmlp20260505_8k.htm"/>
      <w:bookmarkStart w:id="1" w:name="ksdmlp20260505_8k"/>
      <w:bookmarkEnd w:id="0"/>
      <w:bookmarkEnd w:id="1"/>
      <w:r>
        <w:rPr>
          <w:rFonts w:ascii="Times New Roman" w:hAnsi="Times New Roman"/>
          <w:caps w:val="false"/>
          <w:smallCaps w:val="false"/>
          <w:sz w:val="24"/>
        </w:rPr>
        <w:t>UNITED STATES</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SECURITIES AND EXCHANGE COMMISSION</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b/>
          <w:caps w:val="false"/>
          <w:smallCaps w:val="false"/>
          <w:sz w:val="20"/>
          <w:u w:val="single"/>
        </w:rPr>
        <w:t>May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u w:val="single"/>
        </w:rPr>
      </w:pPr>
      <w:r>
        <w:rPr>
          <w:rFonts w:ascii="Times New Roman" w:hAnsi="Times New Roman"/>
          <w:b/>
          <w:caps w:val="false"/>
          <w:smallCaps w:val="false"/>
          <w:sz w:val="24"/>
          <w:u w:val="single"/>
        </w:rPr>
        <w:t>DORCHESTER MINERALS, L.P.</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130" w:type="dxa"/>
        <w:jc w:val="left"/>
        <w:tblInd w:w="0" w:type="dxa"/>
        <w:tblLayout w:type="fixed"/>
        <w:tblCellMar>
          <w:top w:w="0" w:type="dxa"/>
          <w:left w:w="0" w:type="dxa"/>
          <w:bottom w:w="28" w:type="dxa"/>
          <w:right w:w="0" w:type="dxa"/>
        </w:tblCellMar>
      </w:tblPr>
      <w:tblGrid>
        <w:gridCol w:w="2375"/>
        <w:gridCol w:w="60"/>
        <w:gridCol w:w="1100"/>
        <w:gridCol w:w="60"/>
        <w:gridCol w:w="1535"/>
      </w:tblGrid>
      <w:tr>
        <w:trPr/>
        <w:tc>
          <w:tcPr>
            <w:tcW w:w="23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000-50175</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81-0551518</w:t>
            </w:r>
          </w:p>
        </w:tc>
      </w:tr>
      <w:tr>
        <w:trPr/>
        <w:tc>
          <w:tcPr>
            <w:tcW w:w="237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 of</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(Commission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w:t>
            </w:r>
          </w:p>
        </w:tc>
      </w:tr>
      <w:tr>
        <w:trPr/>
        <w:tc>
          <w:tcPr>
            <w:tcW w:w="237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incorporation)</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3838 Oak Lawn, Suite 300, Dallas, Texas 75219</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  (</w:t>
      </w:r>
      <w:r>
        <w:rPr>
          <w:rFonts w:ascii="Times New Roman" w:hAnsi="Times New Roman"/>
          <w:caps w:val="false"/>
          <w:smallCaps w:val="false"/>
          <w:sz w:val="20"/>
          <w:u w:val="single"/>
        </w:rPr>
        <w:t>214) 559-0300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r>
        <w:rPr>
          <w:rFonts w:ascii="Times New Roman" w:hAnsi="Times New Roman"/>
          <w:caps w:val="false"/>
          <w:smallCaps w:val="false"/>
          <w:sz w:val="20"/>
          <w:u w:val="single"/>
        </w:rPr>
        <w:t>see</w:t>
      </w:r>
      <w:r>
        <w:rPr>
          <w:rFonts w:ascii="Times New Roman" w:hAnsi="Times New Roman"/>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095" w:type="dxa"/>
        <w:jc w:val="left"/>
        <w:tblInd w:w="0" w:type="dxa"/>
        <w:tblLayout w:type="fixed"/>
        <w:tblCellMar>
          <w:top w:w="0" w:type="dxa"/>
          <w:left w:w="0" w:type="dxa"/>
          <w:bottom w:w="28" w:type="dxa"/>
          <w:right w:w="0" w:type="dxa"/>
        </w:tblCellMar>
      </w:tblPr>
      <w:tblGrid>
        <w:gridCol w:w="4670"/>
        <w:gridCol w:w="60"/>
        <w:gridCol w:w="1610"/>
        <w:gridCol w:w="60"/>
        <w:gridCol w:w="3695"/>
      </w:tblGrid>
      <w:tr>
        <w:trPr/>
        <w:tc>
          <w:tcPr>
            <w:tcW w:w="46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467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Units Representing Limited Partnership Interest</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DMLP</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right"/>
        <w:rPr>
          <w:rFonts w:ascii="Times New Roman" w:hAnsi="Times New Roman"/>
          <w:caps w:val="false"/>
          <w:smallCaps w:val="false"/>
          <w:sz w:val="20"/>
        </w:rPr>
      </w:pPr>
      <w:r>
        <w:rPr>
          <w:rFonts w:ascii="Times New Roman" w:hAnsi="Times New Roman"/>
          <w:caps w:val="false"/>
          <w:smallCaps w:val="false"/>
          <w:sz w:val="20"/>
        </w:rPr>
        <w:t>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tbl>
      <w:tblPr>
        <w:tblW w:w="4735" w:type="dxa"/>
        <w:jc w:val="left"/>
        <w:tblInd w:w="0" w:type="dxa"/>
        <w:tblLayout w:type="fixed"/>
        <w:tblCellMar>
          <w:top w:w="0" w:type="dxa"/>
          <w:left w:w="0" w:type="dxa"/>
          <w:bottom w:w="0" w:type="dxa"/>
          <w:right w:w="0" w:type="dxa"/>
        </w:tblCellMar>
      </w:tblPr>
      <w:tblGrid>
        <w:gridCol w:w="815"/>
        <w:gridCol w:w="3920"/>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2.02</w:t>
            </w:r>
          </w:p>
        </w:tc>
        <w:tc>
          <w:tcPr>
            <w:tcW w:w="39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The Registrant is furnishing its press release dated May 6, 2026, which announces the Registrant's results for the quarter ended March 31, 2026.  The press release is attached hereto as Exhibit 99.1 to this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7.01</w:t>
      </w:r>
    </w:p>
    <w:tbl>
      <w:tblPr>
        <w:tblW w:w="6235" w:type="dxa"/>
        <w:jc w:val="left"/>
        <w:tblInd w:w="0" w:type="dxa"/>
        <w:tblLayout w:type="fixed"/>
        <w:tblCellMar>
          <w:top w:w="0" w:type="dxa"/>
          <w:left w:w="0" w:type="dxa"/>
          <w:bottom w:w="0" w:type="dxa"/>
          <w:right w:w="0" w:type="dxa"/>
        </w:tblCellMar>
      </w:tblPr>
      <w:tblGrid>
        <w:gridCol w:w="770"/>
        <w:gridCol w:w="5465"/>
      </w:tblGrid>
      <w:tr>
        <w:trPr/>
        <w:tc>
          <w:tcPr>
            <w:tcW w:w="7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And 9.01</w:t>
            </w:r>
          </w:p>
        </w:tc>
        <w:tc>
          <w:tcPr>
            <w:tcW w:w="54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Regulation FD Disclosure and 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60"/>
        <w:gridCol w:w="230"/>
        <w:gridCol w:w="71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710"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9765" w:type="dxa"/>
            <w:tcBorders/>
            <w:vAlign w:val="center"/>
          </w:tcPr>
          <w:p>
            <w:pPr>
              <w:pStyle w:val="TableContents"/>
              <w:bidi w:val="0"/>
              <w:spacing w:before="0" w:after="0"/>
              <w:ind w:left="0" w:right="0" w:hanging="0"/>
              <w:jc w:val="left"/>
              <w:rPr/>
            </w:pPr>
            <w:hyperlink w:anchor="ex_957180.htm">
              <w:r>
                <w:rPr>
                  <w:rStyle w:val="InternetLink"/>
                  <w:rFonts w:ascii="Times New Roman;Times;serif" w:hAnsi="Times New Roman;Times;serif"/>
                  <w:sz w:val="20"/>
                </w:rPr>
                <w:t>Press Release dated May 6, 2026, announcing the Registrant's results for the quarter ended March 31, 2026. The press release is attached hereto as Exhibit 99.1 and incorporated herein by reference.</w:t>
              </w:r>
            </w:hyperlink>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2520" w:right="0" w:hanging="0"/>
        <w:jc w:val="left"/>
        <w:rPr>
          <w:rFonts w:ascii="Times New Roman" w:hAnsi="Times New Roman"/>
          <w:caps w:val="false"/>
          <w:smallCaps w:val="false"/>
          <w:sz w:val="20"/>
        </w:rPr>
      </w:pPr>
      <w:r>
        <w:rPr>
          <w:rFonts w:ascii="Times New Roman" w:hAnsi="Times New Roman"/>
          <w:caps w:val="false"/>
          <w:smallCaps w:val="false"/>
          <w:sz w:val="20"/>
        </w:rPr>
        <w:t>See 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60"/>
        <w:gridCol w:w="335"/>
        <w:gridCol w:w="6470"/>
      </w:tblGrid>
      <w:tr>
        <w:trPr/>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6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Limitation on 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general instructions B.2 and B.6 of Form 8-K, the information disclosed in this report under Item 7.01, including Exhibit 99.1, is being furnished and shall not be deemed "filed" for the purposes of Section 18 of the Securities Exchange Act of 1934, as amended, or otherwise subject to the liability of that section, and shall not be deemed incorporated by reference into any filing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64" w:type="dxa"/>
        <w:jc w:val="left"/>
        <w:tblInd w:w="0" w:type="dxa"/>
        <w:tblLayout w:type="fixed"/>
        <w:tblCellMar>
          <w:top w:w="0" w:type="dxa"/>
          <w:left w:w="0" w:type="dxa"/>
          <w:bottom w:w="0" w:type="dxa"/>
          <w:right w:w="0" w:type="dxa"/>
        </w:tblCellMar>
      </w:tblPr>
      <w:tblGrid>
        <w:gridCol w:w="1535"/>
        <w:gridCol w:w="612"/>
        <w:gridCol w:w="3157"/>
        <w:gridCol w:w="60"/>
      </w:tblGrid>
      <w:tr>
        <w:trPr/>
        <w:tc>
          <w:tcPr>
            <w:tcW w:w="1535" w:type="dxa"/>
            <w:tcBorders/>
          </w:tcPr>
          <w:p>
            <w:pPr>
              <w:pStyle w:val="TableContents"/>
              <w:bidi w:val="0"/>
              <w:spacing w:before="0" w:after="283"/>
              <w:ind w:left="0" w:right="0" w:hanging="0"/>
              <w:jc w:val="left"/>
              <w:rPr>
                <w:sz w:val="4"/>
                <w:szCs w:val="4"/>
              </w:rPr>
            </w:pPr>
            <w:r>
              <w:rPr>
                <w:sz w:val="4"/>
                <w:szCs w:val="4"/>
              </w:rPr>
            </w:r>
          </w:p>
        </w:tc>
        <w:tc>
          <w:tcPr>
            <w:tcW w:w="3769" w:type="dxa"/>
            <w:gridSpan w:val="2"/>
            <w:tcBorders/>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DORCHESTER MINERALS, L.P.</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Dorchester Minerals Management LP</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its General Partner,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Dorchester Minerals Management GP LLC</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its General Partner</w:t>
            </w:r>
          </w:p>
        </w:tc>
        <w:tc>
          <w:tcPr>
            <w:tcW w:w="60" w:type="dxa"/>
            <w:tcBorders/>
          </w:tcPr>
          <w:p>
            <w:pPr>
              <w:pStyle w:val="TableContents"/>
              <w:bidi w:val="0"/>
              <w:spacing w:before="0" w:after="283"/>
              <w:ind w:left="0" w:right="0" w:hanging="0"/>
              <w:jc w:val="left"/>
              <w:rPr>
                <w:sz w:val="4"/>
                <w:szCs w:val="4"/>
              </w:rPr>
            </w:pPr>
            <w:r>
              <w:rPr>
                <w:sz w:val="4"/>
                <w:szCs w:val="4"/>
              </w:rPr>
            </w:r>
          </w:p>
        </w:tc>
      </w:tr>
      <w:tr>
        <w:trPr/>
        <w:tc>
          <w:tcPr>
            <w:tcW w:w="1535" w:type="dxa"/>
            <w:tcBorders/>
          </w:tcPr>
          <w:p>
            <w:pPr>
              <w:pStyle w:val="TableContents"/>
              <w:bidi w:val="0"/>
              <w:spacing w:before="0" w:after="283"/>
              <w:ind w:left="0" w:right="0" w:hanging="0"/>
              <w:jc w:val="left"/>
              <w:rPr>
                <w:sz w:val="4"/>
                <w:szCs w:val="4"/>
              </w:rPr>
            </w:pPr>
            <w:r>
              <w:rPr>
                <w:sz w:val="4"/>
                <w:szCs w:val="4"/>
              </w:rPr>
            </w:r>
          </w:p>
        </w:tc>
        <w:tc>
          <w:tcPr>
            <w:tcW w:w="612" w:type="dxa"/>
            <w:tcBorders/>
          </w:tcPr>
          <w:p>
            <w:pPr>
              <w:pStyle w:val="TableContents"/>
              <w:bidi w:val="0"/>
              <w:spacing w:before="0" w:after="283"/>
              <w:ind w:left="0" w:right="0" w:hanging="0"/>
              <w:jc w:val="left"/>
              <w:rPr>
                <w:sz w:val="4"/>
                <w:szCs w:val="4"/>
              </w:rPr>
            </w:pPr>
            <w:r>
              <w:rPr>
                <w:sz w:val="4"/>
                <w:szCs w:val="4"/>
              </w:rPr>
            </w:r>
          </w:p>
        </w:tc>
        <w:tc>
          <w:tcPr>
            <w:tcW w:w="3157" w:type="dxa"/>
            <w:tcBorders/>
          </w:tcPr>
          <w:p>
            <w:pPr>
              <w:pStyle w:val="TableContents"/>
              <w:bidi w:val="0"/>
              <w:spacing w:before="0" w:after="283"/>
              <w:ind w:left="0" w:right="0" w:hanging="0"/>
              <w:jc w:val="left"/>
              <w:rPr>
                <w:sz w:val="4"/>
                <w:szCs w:val="4"/>
              </w:rPr>
            </w:pPr>
            <w:r>
              <w:rPr>
                <w:sz w:val="4"/>
                <w:szCs w:val="4"/>
              </w:rPr>
            </w:r>
          </w:p>
        </w:tc>
        <w:tc>
          <w:tcPr>
            <w:tcW w:w="60" w:type="dxa"/>
            <w:tcBorders/>
          </w:tcPr>
          <w:p>
            <w:pPr>
              <w:pStyle w:val="TableContents"/>
              <w:bidi w:val="0"/>
              <w:spacing w:before="0" w:after="283"/>
              <w:ind w:left="0" w:right="0" w:hanging="0"/>
              <w:jc w:val="left"/>
              <w:rPr>
                <w:sz w:val="4"/>
                <w:szCs w:val="4"/>
              </w:rPr>
            </w:pPr>
            <w:r>
              <w:rPr>
                <w:sz w:val="4"/>
                <w:szCs w:val="4"/>
              </w:rPr>
            </w:r>
          </w:p>
        </w:tc>
      </w:tr>
      <w:tr>
        <w:trPr/>
        <w:tc>
          <w:tcPr>
            <w:tcW w:w="1535"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3157"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1535"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3157"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153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6, 2026</w:t>
            </w:r>
          </w:p>
        </w:tc>
        <w:tc>
          <w:tcPr>
            <w:tcW w:w="612" w:type="dxa"/>
            <w:tcBorders/>
          </w:tcPr>
          <w:p>
            <w:pPr>
              <w:pStyle w:val="TableContents"/>
              <w:bidi w:val="0"/>
              <w:spacing w:before="0" w:after="283"/>
              <w:ind w:left="0" w:right="0" w:hanging="0"/>
              <w:jc w:val="left"/>
              <w:rPr>
                <w:sz w:val="4"/>
                <w:szCs w:val="4"/>
              </w:rPr>
            </w:pPr>
            <w:r>
              <w:rPr>
                <w:sz w:val="4"/>
                <w:szCs w:val="4"/>
              </w:rPr>
            </w:r>
          </w:p>
        </w:tc>
        <w:tc>
          <w:tcPr>
            <w:tcW w:w="3157" w:type="dxa"/>
            <w:tcBorders/>
            <w:vAlign w:val="bottom"/>
          </w:tcPr>
          <w:p>
            <w:pPr>
              <w:pStyle w:val="TableContents"/>
              <w:bidi w:val="0"/>
              <w:spacing w:before="0" w:after="283"/>
              <w:ind w:left="0" w:right="0" w:hanging="0"/>
              <w:jc w:val="left"/>
              <w:rPr>
                <w:sz w:val="4"/>
                <w:szCs w:val="4"/>
              </w:rPr>
            </w:pPr>
            <w:r>
              <w:rPr>
                <w:sz w:val="4"/>
                <w:szCs w:val="4"/>
              </w:rPr>
            </w:r>
          </w:p>
        </w:tc>
        <w:tc>
          <w:tcPr>
            <w:tcW w:w="60" w:type="dxa"/>
            <w:tcBorders/>
          </w:tcPr>
          <w:p>
            <w:pPr>
              <w:pStyle w:val="TableContents"/>
              <w:bidi w:val="0"/>
              <w:spacing w:before="0" w:after="283"/>
              <w:ind w:left="0" w:right="0" w:hanging="0"/>
              <w:jc w:val="left"/>
              <w:rPr>
                <w:sz w:val="4"/>
                <w:szCs w:val="4"/>
              </w:rPr>
            </w:pPr>
            <w:r>
              <w:rPr>
                <w:sz w:val="4"/>
                <w:szCs w:val="4"/>
              </w:rPr>
            </w:r>
          </w:p>
        </w:tc>
      </w:tr>
      <w:tr>
        <w:trPr/>
        <w:tc>
          <w:tcPr>
            <w:tcW w:w="1535" w:type="dxa"/>
            <w:tcBorders/>
          </w:tcPr>
          <w:p>
            <w:pPr>
              <w:pStyle w:val="TableContents"/>
              <w:bidi w:val="0"/>
              <w:spacing w:before="0" w:after="283"/>
              <w:ind w:left="0" w:right="0" w:hanging="0"/>
              <w:jc w:val="left"/>
              <w:rPr>
                <w:sz w:val="4"/>
                <w:szCs w:val="4"/>
              </w:rPr>
            </w:pPr>
            <w:r>
              <w:rPr>
                <w:sz w:val="4"/>
                <w:szCs w:val="4"/>
              </w:rPr>
            </w:r>
          </w:p>
        </w:tc>
        <w:tc>
          <w:tcPr>
            <w:tcW w:w="612"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157"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Leslie A. Moriyama</w:t>
            </w:r>
          </w:p>
        </w:tc>
        <w:tc>
          <w:tcPr>
            <w:tcW w:w="60" w:type="dxa"/>
            <w:tcBorders/>
          </w:tcPr>
          <w:p>
            <w:pPr>
              <w:pStyle w:val="TableContents"/>
              <w:bidi w:val="0"/>
              <w:spacing w:before="0" w:after="283"/>
              <w:ind w:left="0" w:right="0" w:hanging="0"/>
              <w:jc w:val="left"/>
              <w:rPr>
                <w:sz w:val="4"/>
                <w:szCs w:val="4"/>
              </w:rPr>
            </w:pPr>
            <w:r>
              <w:rPr>
                <w:sz w:val="4"/>
                <w:szCs w:val="4"/>
              </w:rPr>
            </w:r>
          </w:p>
        </w:tc>
      </w:tr>
      <w:tr>
        <w:trPr/>
        <w:tc>
          <w:tcPr>
            <w:tcW w:w="1535" w:type="dxa"/>
            <w:tcBorders/>
          </w:tcPr>
          <w:p>
            <w:pPr>
              <w:pStyle w:val="TableContents"/>
              <w:bidi w:val="0"/>
              <w:spacing w:before="0" w:after="283"/>
              <w:ind w:left="0" w:right="0" w:hanging="0"/>
              <w:jc w:val="left"/>
              <w:rPr>
                <w:sz w:val="4"/>
                <w:szCs w:val="4"/>
              </w:rPr>
            </w:pPr>
            <w:r>
              <w:rPr>
                <w:sz w:val="4"/>
                <w:szCs w:val="4"/>
              </w:rPr>
            </w:r>
          </w:p>
        </w:tc>
        <w:tc>
          <w:tcPr>
            <w:tcW w:w="612" w:type="dxa"/>
            <w:tcBorders/>
          </w:tcPr>
          <w:p>
            <w:pPr>
              <w:pStyle w:val="TableContents"/>
              <w:bidi w:val="0"/>
              <w:spacing w:before="0" w:after="283"/>
              <w:ind w:left="0" w:right="0" w:hanging="0"/>
              <w:jc w:val="left"/>
              <w:rPr>
                <w:sz w:val="4"/>
                <w:szCs w:val="4"/>
              </w:rPr>
            </w:pPr>
            <w:r>
              <w:rPr>
                <w:sz w:val="4"/>
                <w:szCs w:val="4"/>
              </w:rPr>
            </w:r>
          </w:p>
        </w:tc>
        <w:tc>
          <w:tcPr>
            <w:tcW w:w="315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Leslie A. Moriyama</w:t>
            </w:r>
          </w:p>
        </w:tc>
        <w:tc>
          <w:tcPr>
            <w:tcW w:w="60" w:type="dxa"/>
            <w:tcBorders/>
          </w:tcPr>
          <w:p>
            <w:pPr>
              <w:pStyle w:val="TableContents"/>
              <w:bidi w:val="0"/>
              <w:spacing w:before="0" w:after="283"/>
              <w:ind w:left="0" w:right="0" w:hanging="0"/>
              <w:jc w:val="left"/>
              <w:rPr>
                <w:sz w:val="4"/>
                <w:szCs w:val="4"/>
              </w:rPr>
            </w:pPr>
            <w:r>
              <w:rPr>
                <w:sz w:val="4"/>
                <w:szCs w:val="4"/>
              </w:rPr>
            </w:r>
          </w:p>
        </w:tc>
      </w:tr>
      <w:tr>
        <w:trPr/>
        <w:tc>
          <w:tcPr>
            <w:tcW w:w="1535" w:type="dxa"/>
            <w:tcBorders/>
          </w:tcPr>
          <w:p>
            <w:pPr>
              <w:pStyle w:val="TableContents"/>
              <w:bidi w:val="0"/>
              <w:spacing w:before="0" w:after="283"/>
              <w:ind w:left="0" w:right="0" w:hanging="0"/>
              <w:jc w:val="left"/>
              <w:rPr>
                <w:sz w:val="4"/>
                <w:szCs w:val="4"/>
              </w:rPr>
            </w:pPr>
            <w:r>
              <w:rPr>
                <w:sz w:val="4"/>
                <w:szCs w:val="4"/>
              </w:rPr>
            </w:r>
          </w:p>
        </w:tc>
        <w:tc>
          <w:tcPr>
            <w:tcW w:w="612" w:type="dxa"/>
            <w:tcBorders/>
          </w:tcPr>
          <w:p>
            <w:pPr>
              <w:pStyle w:val="TableContents"/>
              <w:bidi w:val="0"/>
              <w:spacing w:before="0" w:after="283"/>
              <w:ind w:left="0" w:right="0" w:hanging="0"/>
              <w:jc w:val="left"/>
              <w:rPr>
                <w:sz w:val="4"/>
                <w:szCs w:val="4"/>
              </w:rPr>
            </w:pPr>
            <w:r>
              <w:rPr>
                <w:sz w:val="4"/>
                <w:szCs w:val="4"/>
              </w:rPr>
            </w:r>
          </w:p>
        </w:tc>
        <w:tc>
          <w:tcPr>
            <w:tcW w:w="315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ind w:left="360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57180.htm"/>
      <w:bookmarkStart w:id="3" w:name="ksex_957180"/>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tbl>
      <w:tblPr>
        <w:tblW w:w="6490" w:type="dxa"/>
        <w:jc w:val="left"/>
        <w:tblInd w:w="0" w:type="dxa"/>
        <w:tblLayout w:type="fixed"/>
        <w:tblCellMar>
          <w:top w:w="0" w:type="dxa"/>
          <w:left w:w="0" w:type="dxa"/>
          <w:bottom w:w="0" w:type="dxa"/>
          <w:right w:w="0" w:type="dxa"/>
        </w:tblCellMar>
      </w:tblPr>
      <w:tblGrid>
        <w:gridCol w:w="2720"/>
        <w:gridCol w:w="3770"/>
      </w:tblGrid>
      <w:tr>
        <w:trPr/>
        <w:tc>
          <w:tcPr>
            <w:tcW w:w="2720" w:type="dxa"/>
            <w:tcBorders/>
            <w:vAlign w:val="center"/>
          </w:tcPr>
          <w:p>
            <w:pPr>
              <w:pStyle w:val="TableContents"/>
              <w:bidi w:val="0"/>
              <w:spacing w:before="0" w:after="0"/>
              <w:ind w:left="0" w:right="0" w:hanging="0"/>
              <w:jc w:val="left"/>
              <w:rPr>
                <w:rFonts w:ascii="Times New Roman" w:hAnsi="Times New Roman"/>
                <w:caps w:val="false"/>
                <w:smallCaps w:val="false"/>
                <w:sz w:val="36"/>
              </w:rPr>
            </w:pPr>
            <w:r>
              <w:rPr>
                <w:rFonts w:ascii="Times New Roman" w:hAnsi="Times New Roman"/>
                <w:caps w:val="false"/>
                <w:smallCaps w:val="false"/>
                <w:sz w:val="36"/>
              </w:rPr>
              <w:t>NEWS RELEASE</w:t>
            </w:r>
          </w:p>
        </w:tc>
        <w:tc>
          <w:tcPr>
            <w:tcW w:w="3770" w:type="dxa"/>
            <w:tcBorders/>
            <w:vAlign w:val="center"/>
          </w:tcPr>
          <w:p>
            <w:pPr>
              <w:pStyle w:val="TableContents"/>
              <w:bidi w:val="0"/>
              <w:spacing w:before="0" w:after="0"/>
              <w:ind w:left="0" w:right="0" w:hanging="0"/>
              <w:jc w:val="left"/>
              <w:rPr>
                <w:rFonts w:ascii="Times New Roman" w:hAnsi="Times New Roman"/>
                <w:caps w:val="false"/>
                <w:smallCaps w:val="false"/>
                <w:sz w:val="36"/>
              </w:rPr>
            </w:pPr>
            <w:r>
              <w:rPr>
                <w:rFonts w:ascii="Times New Roman" w:hAnsi="Times New Roman"/>
                <w:caps w:val="false"/>
                <w:smallCaps w:val="false"/>
                <w:sz w:val="36"/>
              </w:rPr>
              <w:t>Dorchester Minerals, L.P.</w:t>
            </w:r>
          </w:p>
        </w:tc>
      </w:tr>
    </w:tbl>
    <w:p>
      <w:pPr>
        <w:pStyle w:val="TextBody"/>
        <w:bidi w:val="0"/>
        <w:spacing w:before="0" w:after="0"/>
        <w:ind w:left="0" w:right="0" w:hanging="0"/>
        <w:jc w:val="left"/>
        <w:rPr>
          <w:caps w:val="false"/>
          <w:smallCaps w:val="false"/>
        </w:rPr>
      </w:pPr>
      <w:r>
        <w:rPr>
          <w:caps w:val="false"/>
          <w:smallCaps w:val="false"/>
        </w:rPr>
        <w:t> </w:t>
      </w:r>
    </w:p>
    <w:tbl>
      <w:tblPr>
        <w:tblW w:w="5775" w:type="dxa"/>
        <w:jc w:val="left"/>
        <w:tblInd w:w="0" w:type="dxa"/>
        <w:tblLayout w:type="fixed"/>
        <w:tblCellMar>
          <w:top w:w="0" w:type="dxa"/>
          <w:left w:w="0" w:type="dxa"/>
          <w:bottom w:w="0" w:type="dxa"/>
          <w:right w:w="0" w:type="dxa"/>
        </w:tblCellMar>
      </w:tblPr>
      <w:tblGrid>
        <w:gridCol w:w="1325"/>
        <w:gridCol w:w="1325"/>
        <w:gridCol w:w="3125"/>
      </w:tblGrid>
      <w:tr>
        <w:trPr/>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Release Date:</w:t>
            </w:r>
          </w:p>
        </w:tc>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May 6, 2026</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3838 Oak Lawn Ave., Suite 300</w:t>
            </w:r>
          </w:p>
        </w:tc>
      </w:tr>
      <w:tr>
        <w:trPr/>
        <w:tc>
          <w:tcPr>
            <w:tcW w:w="1325"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Dallas, Texas 75219-4541</w:t>
            </w:r>
          </w:p>
        </w:tc>
      </w:tr>
      <w:tr>
        <w:trPr/>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Contact:</w:t>
            </w:r>
          </w:p>
        </w:tc>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Martye Miller</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(214) 559-0300</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2"/>
        </w:rPr>
      </w:pPr>
      <w:r>
        <w:rPr>
          <w:rFonts w:ascii="Times New Roman" w:hAnsi="Times New Roman"/>
          <w:b/>
          <w:caps w:val="false"/>
          <w:smallCaps w:val="false"/>
          <w:sz w:val="22"/>
        </w:rPr>
        <w:t xml:space="preserve">Dorchester Minerals, L.P. Announces First Quarter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DALLAS, TEXAS -- Dorchester Minerals, L.P. (the “Partnership”) (NASDAQ-DMLP) announced today the Partnership’s net income for the quarter ended March 31, 2026 of $29,137,000 or $0.59 per common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 comparison of the Partnership’s consolidated results for the quarter ended March 31, 2026 and 2025 are set forth below:</w:t>
      </w:r>
    </w:p>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2450"/>
        <w:gridCol w:w="60"/>
        <w:gridCol w:w="125"/>
        <w:gridCol w:w="950"/>
        <w:gridCol w:w="60"/>
        <w:gridCol w:w="60"/>
        <w:gridCol w:w="125"/>
        <w:gridCol w:w="950"/>
        <w:gridCol w:w="60"/>
      </w:tblGrid>
      <w:tr>
        <w:trPr/>
        <w:tc>
          <w:tcPr>
            <w:tcW w:w="2450" w:type="dxa"/>
            <w:tcBorders/>
            <w:vAlign w:val="center"/>
          </w:tcPr>
          <w:p>
            <w:pPr>
              <w:pStyle w:val="TableContents"/>
              <w:bidi w:val="0"/>
              <w:spacing w:before="0" w:after="283"/>
              <w:jc w:val="left"/>
              <w:rPr/>
            </w:pPr>
            <w:r>
              <w:rPr/>
              <w:t> </w:t>
            </w:r>
            <w:bookmarkStart w:id="4" w:name=".lead.D3"/>
            <w:bookmarkEnd w:id="4"/>
          </w:p>
        </w:tc>
        <w:tc>
          <w:tcPr>
            <w:tcW w:w="60" w:type="dxa"/>
            <w:tcBorders/>
            <w:vAlign w:val="center"/>
          </w:tcPr>
          <w:p>
            <w:pPr>
              <w:pStyle w:val="TableContents"/>
              <w:bidi w:val="0"/>
              <w:spacing w:before="0" w:after="283"/>
              <w:ind w:left="0" w:right="0" w:hanging="0"/>
              <w:jc w:val="left"/>
              <w:rPr/>
            </w:pPr>
            <w:r>
              <w:rPr/>
              <w:t> </w:t>
            </w:r>
            <w:bookmarkStart w:id="5" w:name=".amt.D3"/>
            <w:bookmarkEnd w:id="5"/>
          </w:p>
        </w:tc>
        <w:tc>
          <w:tcPr>
            <w:tcW w:w="227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bookmarkStart w:id="6" w:name=".trail.D3"/>
            <w:bookmarkEnd w:id="6"/>
          </w:p>
        </w:tc>
        <w:tc>
          <w:tcPr>
            <w:tcW w:w="6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bookmarkStart w:id="7" w:name=".lead.D31"/>
            <w:bookmarkStart w:id="8" w:name=".lead.D32"/>
            <w:bookmarkEnd w:id="7"/>
            <w:bookmarkEnd w:id="8"/>
          </w:p>
        </w:tc>
        <w:tc>
          <w:tcPr>
            <w:tcW w:w="60" w:type="dxa"/>
            <w:tcBorders/>
            <w:vAlign w:val="center"/>
          </w:tcPr>
          <w:p>
            <w:pPr>
              <w:pStyle w:val="TableContents"/>
              <w:bidi w:val="0"/>
              <w:spacing w:before="0" w:after="283"/>
              <w:ind w:left="0" w:right="0" w:hanging="0"/>
              <w:jc w:val="left"/>
              <w:rPr/>
            </w:pPr>
            <w:r>
              <w:rPr/>
              <w:t> </w:t>
            </w:r>
            <w:bookmarkStart w:id="9" w:name=".amt.D31"/>
            <w:bookmarkStart w:id="10" w:name=".amt.D32"/>
            <w:bookmarkEnd w:id="9"/>
            <w:bookmarkEnd w:id="10"/>
          </w:p>
        </w:tc>
        <w:tc>
          <w:tcPr>
            <w:tcW w:w="22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31,</w:t>
            </w:r>
            <w:bookmarkStart w:id="11" w:name=".trail.D31"/>
            <w:bookmarkStart w:id="12" w:name=".trail.D32"/>
            <w:bookmarkEnd w:id="11"/>
            <w:bookmarkEnd w:id="12"/>
          </w:p>
        </w:tc>
        <w:tc>
          <w:tcPr>
            <w:tcW w:w="6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bookmarkStart w:id="13" w:name=".lead.D2"/>
            <w:bookmarkEnd w:id="13"/>
          </w:p>
        </w:tc>
        <w:tc>
          <w:tcPr>
            <w:tcW w:w="60" w:type="dxa"/>
            <w:tcBorders/>
            <w:vAlign w:val="center"/>
          </w:tcPr>
          <w:p>
            <w:pPr>
              <w:pStyle w:val="TableContents"/>
              <w:bidi w:val="0"/>
              <w:spacing w:before="0" w:after="283"/>
              <w:ind w:left="0" w:right="0" w:hanging="0"/>
              <w:jc w:val="left"/>
              <w:rPr/>
            </w:pPr>
            <w:r>
              <w:rPr/>
              <w:t> </w:t>
            </w:r>
            <w:bookmarkStart w:id="14" w:name=".amt.D2"/>
            <w:bookmarkEnd w:id="14"/>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bookmarkStart w:id="15" w:name=".trail.D2"/>
            <w:bookmarkEnd w:id="15"/>
          </w:p>
        </w:tc>
        <w:tc>
          <w:tcPr>
            <w:tcW w:w="60" w:type="dxa"/>
            <w:tcBorders/>
            <w:vAlign w:val="center"/>
          </w:tcPr>
          <w:p>
            <w:pPr>
              <w:pStyle w:val="TableContents"/>
              <w:bidi w:val="0"/>
              <w:spacing w:before="0" w:after="283"/>
              <w:jc w:val="left"/>
              <w:rPr/>
            </w:pPr>
            <w:r>
              <w:rPr/>
              <w:t> </w:t>
            </w:r>
            <w:bookmarkStart w:id="16" w:name=".lead.D33"/>
            <w:bookmarkStart w:id="17" w:name=".lead.D34"/>
            <w:bookmarkEnd w:id="16"/>
            <w:bookmarkEnd w:id="17"/>
          </w:p>
        </w:tc>
        <w:tc>
          <w:tcPr>
            <w:tcW w:w="60" w:type="dxa"/>
            <w:tcBorders/>
            <w:vAlign w:val="center"/>
          </w:tcPr>
          <w:p>
            <w:pPr>
              <w:pStyle w:val="TableContents"/>
              <w:bidi w:val="0"/>
              <w:spacing w:before="0" w:after="283"/>
              <w:ind w:left="0" w:right="0" w:hanging="0"/>
              <w:jc w:val="left"/>
              <w:rPr/>
            </w:pPr>
            <w:r>
              <w:rPr/>
              <w:t> </w:t>
            </w:r>
            <w:bookmarkStart w:id="18" w:name=".amt.D33"/>
            <w:bookmarkStart w:id="19" w:name=".amt.D34"/>
            <w:bookmarkEnd w:id="18"/>
            <w:bookmarkEnd w:id="19"/>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20" w:name=".trail.D33"/>
            <w:bookmarkStart w:id="21" w:name=".trail.D34"/>
            <w:bookmarkEnd w:id="20"/>
            <w:bookmarkEnd w:id="21"/>
          </w:p>
        </w:tc>
        <w:tc>
          <w:tcPr>
            <w:tcW w:w="6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Revenues</w:t>
            </w:r>
            <w:bookmarkStart w:id="22" w:name=".lead.2"/>
            <w:bookmarkEnd w:id="22"/>
          </w:p>
        </w:tc>
        <w:tc>
          <w:tcPr>
            <w:tcW w:w="60" w:type="dxa"/>
            <w:tcBorders/>
            <w:shd w:fill="CCEEFF" w:val="clear"/>
            <w:vAlign w:val="center"/>
          </w:tcPr>
          <w:p>
            <w:pPr>
              <w:pStyle w:val="TableContents"/>
              <w:bidi w:val="0"/>
              <w:spacing w:before="0" w:after="283"/>
              <w:ind w:left="0" w:right="0" w:hanging="0"/>
              <w:jc w:val="left"/>
              <w:rPr/>
            </w:pPr>
            <w:r>
              <w:rPr/>
              <w:t> </w:t>
            </w:r>
            <w:bookmarkStart w:id="23" w:name=".symb.2"/>
            <w:bookmarkEnd w:id="2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 w:name=".amt.2"/>
            <w:bookmarkEnd w:id="24"/>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58,875,000</w:t>
            </w:r>
            <w:bookmarkStart w:id="25" w:name=".trail.2"/>
            <w:bookmarkEnd w:id="25"/>
          </w:p>
        </w:tc>
        <w:tc>
          <w:tcPr>
            <w:tcW w:w="60" w:type="dxa"/>
            <w:tcBorders/>
            <w:shd w:fill="CCEEFF" w:val="clear"/>
            <w:vAlign w:val="center"/>
          </w:tcPr>
          <w:p>
            <w:pPr>
              <w:pStyle w:val="TableContents"/>
              <w:bidi w:val="0"/>
              <w:spacing w:before="0" w:after="283"/>
              <w:jc w:val="left"/>
              <w:rPr/>
            </w:pPr>
            <w:r>
              <w:rPr/>
              <w:t> </w:t>
            </w:r>
            <w:bookmarkStart w:id="26" w:name=".lead.3"/>
            <w:bookmarkEnd w:id="26"/>
          </w:p>
        </w:tc>
        <w:tc>
          <w:tcPr>
            <w:tcW w:w="60" w:type="dxa"/>
            <w:tcBorders/>
            <w:shd w:fill="CCEEFF" w:val="clear"/>
            <w:vAlign w:val="center"/>
          </w:tcPr>
          <w:p>
            <w:pPr>
              <w:pStyle w:val="TableContents"/>
              <w:bidi w:val="0"/>
              <w:spacing w:before="0" w:after="283"/>
              <w:ind w:left="0" w:right="0" w:hanging="0"/>
              <w:jc w:val="left"/>
              <w:rPr/>
            </w:pPr>
            <w:r>
              <w:rPr/>
              <w:t> </w:t>
            </w:r>
            <w:bookmarkStart w:id="27" w:name=".symb.3"/>
            <w:bookmarkEnd w:id="2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 w:name=".amt.3"/>
            <w:bookmarkEnd w:id="28"/>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43,164,000</w:t>
            </w:r>
            <w:bookmarkStart w:id="29" w:name=".trail.3"/>
            <w:bookmarkEnd w:id="29"/>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bookmarkStart w:id="30" w:name=".lead.21"/>
            <w:bookmarkStart w:id="31" w:name=".lead.22"/>
            <w:bookmarkEnd w:id="30"/>
            <w:bookmarkEnd w:id="31"/>
          </w:p>
        </w:tc>
        <w:tc>
          <w:tcPr>
            <w:tcW w:w="60" w:type="dxa"/>
            <w:tcBorders/>
            <w:shd w:fill="FFFFFF" w:val="clear"/>
            <w:vAlign w:val="center"/>
          </w:tcPr>
          <w:p>
            <w:pPr>
              <w:pStyle w:val="TableContents"/>
              <w:bidi w:val="0"/>
              <w:spacing w:before="0" w:after="283"/>
              <w:ind w:left="0" w:right="0" w:hanging="0"/>
              <w:jc w:val="left"/>
              <w:rPr/>
            </w:pPr>
            <w:r>
              <w:rPr/>
              <w:t> </w:t>
            </w:r>
            <w:bookmarkStart w:id="32" w:name=".symb.21"/>
            <w:bookmarkStart w:id="33" w:name=".symb.22"/>
            <w:bookmarkEnd w:id="32"/>
            <w:bookmarkEnd w:id="3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 w:name=".amt.21"/>
            <w:bookmarkStart w:id="35" w:name=".amt.22"/>
            <w:bookmarkEnd w:id="34"/>
            <w:bookmarkEnd w:id="35"/>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29,137,000</w:t>
            </w:r>
            <w:bookmarkStart w:id="36" w:name=".trail.21"/>
            <w:bookmarkStart w:id="37" w:name=".trail.22"/>
            <w:bookmarkEnd w:id="36"/>
            <w:bookmarkEnd w:id="37"/>
          </w:p>
        </w:tc>
        <w:tc>
          <w:tcPr>
            <w:tcW w:w="60" w:type="dxa"/>
            <w:tcBorders/>
            <w:shd w:fill="FFFFFF" w:val="clear"/>
            <w:vAlign w:val="center"/>
          </w:tcPr>
          <w:p>
            <w:pPr>
              <w:pStyle w:val="TableContents"/>
              <w:bidi w:val="0"/>
              <w:spacing w:before="0" w:after="283"/>
              <w:jc w:val="left"/>
              <w:rPr/>
            </w:pPr>
            <w:r>
              <w:rPr/>
              <w:t> </w:t>
            </w:r>
            <w:bookmarkStart w:id="38" w:name=".lead.31"/>
            <w:bookmarkStart w:id="39" w:name=".lead.32"/>
            <w:bookmarkEnd w:id="38"/>
            <w:bookmarkEnd w:id="39"/>
          </w:p>
        </w:tc>
        <w:tc>
          <w:tcPr>
            <w:tcW w:w="60" w:type="dxa"/>
            <w:tcBorders/>
            <w:shd w:fill="FFFFFF" w:val="clear"/>
            <w:vAlign w:val="center"/>
          </w:tcPr>
          <w:p>
            <w:pPr>
              <w:pStyle w:val="TableContents"/>
              <w:bidi w:val="0"/>
              <w:spacing w:before="0" w:after="283"/>
              <w:ind w:left="0" w:right="0" w:hanging="0"/>
              <w:jc w:val="left"/>
              <w:rPr/>
            </w:pPr>
            <w:r>
              <w:rPr/>
              <w:t> </w:t>
            </w:r>
            <w:bookmarkStart w:id="40" w:name=".symb.31"/>
            <w:bookmarkStart w:id="41" w:name=".symb.32"/>
            <w:bookmarkEnd w:id="40"/>
            <w:bookmarkEnd w:id="4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 w:name=".amt.31"/>
            <w:bookmarkStart w:id="43" w:name=".amt.32"/>
            <w:bookmarkEnd w:id="42"/>
            <w:bookmarkEnd w:id="43"/>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17,642,000</w:t>
            </w:r>
            <w:bookmarkStart w:id="44" w:name=".trail.31"/>
            <w:bookmarkStart w:id="45" w:name=".trail.32"/>
            <w:bookmarkEnd w:id="44"/>
            <w:bookmarkEnd w:id="45"/>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Common Unit</w:t>
            </w:r>
            <w:bookmarkStart w:id="46" w:name=".lead.23"/>
            <w:bookmarkStart w:id="47" w:name=".lead.24"/>
            <w:bookmarkEnd w:id="46"/>
            <w:bookmarkEnd w:id="47"/>
          </w:p>
        </w:tc>
        <w:tc>
          <w:tcPr>
            <w:tcW w:w="60" w:type="dxa"/>
            <w:tcBorders/>
            <w:shd w:fill="CCEEFF" w:val="clear"/>
            <w:vAlign w:val="center"/>
          </w:tcPr>
          <w:p>
            <w:pPr>
              <w:pStyle w:val="TableContents"/>
              <w:bidi w:val="0"/>
              <w:spacing w:before="0" w:after="283"/>
              <w:ind w:left="0" w:right="0" w:hanging="0"/>
              <w:jc w:val="left"/>
              <w:rPr/>
            </w:pPr>
            <w:r>
              <w:rPr/>
              <w:t> </w:t>
            </w:r>
            <w:bookmarkStart w:id="48" w:name=".symb.23"/>
            <w:bookmarkStart w:id="49" w:name=".symb.24"/>
            <w:bookmarkEnd w:id="48"/>
            <w:bookmarkEnd w:id="4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 w:name=".amt.23"/>
            <w:bookmarkStart w:id="51" w:name=".amt.24"/>
            <w:bookmarkEnd w:id="50"/>
            <w:bookmarkEnd w:id="51"/>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0.59</w:t>
            </w:r>
            <w:bookmarkStart w:id="52" w:name=".trail.23"/>
            <w:bookmarkStart w:id="53" w:name=".trail.24"/>
            <w:bookmarkEnd w:id="52"/>
            <w:bookmarkEnd w:id="53"/>
          </w:p>
        </w:tc>
        <w:tc>
          <w:tcPr>
            <w:tcW w:w="60" w:type="dxa"/>
            <w:tcBorders/>
            <w:shd w:fill="CCEEFF" w:val="clear"/>
            <w:vAlign w:val="center"/>
          </w:tcPr>
          <w:p>
            <w:pPr>
              <w:pStyle w:val="TableContents"/>
              <w:bidi w:val="0"/>
              <w:spacing w:before="0" w:after="283"/>
              <w:jc w:val="left"/>
              <w:rPr/>
            </w:pPr>
            <w:r>
              <w:rPr/>
              <w:t> </w:t>
            </w:r>
            <w:bookmarkStart w:id="54" w:name=".lead.33"/>
            <w:bookmarkStart w:id="55" w:name=".lead.34"/>
            <w:bookmarkEnd w:id="54"/>
            <w:bookmarkEnd w:id="55"/>
          </w:p>
        </w:tc>
        <w:tc>
          <w:tcPr>
            <w:tcW w:w="60" w:type="dxa"/>
            <w:tcBorders/>
            <w:shd w:fill="CCEEFF" w:val="clear"/>
            <w:vAlign w:val="center"/>
          </w:tcPr>
          <w:p>
            <w:pPr>
              <w:pStyle w:val="TableContents"/>
              <w:bidi w:val="0"/>
              <w:spacing w:before="0" w:after="283"/>
              <w:ind w:left="0" w:right="0" w:hanging="0"/>
              <w:jc w:val="left"/>
              <w:rPr/>
            </w:pPr>
            <w:r>
              <w:rPr/>
              <w:t> </w:t>
            </w:r>
            <w:bookmarkStart w:id="56" w:name=".symb.33"/>
            <w:bookmarkStart w:id="57" w:name=".symb.34"/>
            <w:bookmarkEnd w:id="56"/>
            <w:bookmarkEnd w:id="5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8" w:name=".amt.33"/>
            <w:bookmarkStart w:id="59" w:name=".amt.34"/>
            <w:bookmarkEnd w:id="58"/>
            <w:bookmarkEnd w:id="59"/>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bookmarkStart w:id="60" w:name=".trail.33"/>
            <w:bookmarkStart w:id="61" w:name=".trail.34"/>
            <w:bookmarkEnd w:id="60"/>
            <w:bookmarkEnd w:id="61"/>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Partnership previously declared its first quarter distribution in the amount of $0.475036 per common unit payable on May 14, 2026 to common unitholders of record as of May 4, 2026. The Partnership’s cash distributions are not comparable to its net earnings due to timing and other differences including depletion.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left"/>
        <w:rPr>
          <w:rFonts w:ascii="Times New Roman" w:hAnsi="Times New Roman"/>
          <w:caps w:val="false"/>
          <w:smallCaps w:val="false"/>
          <w:sz w:val="20"/>
        </w:rPr>
      </w:pPr>
      <w:r>
        <w:rPr>
          <w:rFonts w:ascii="Times New Roman" w:hAnsi="Times New Roman"/>
          <w:caps w:val="false"/>
          <w:smallCaps w:val="false"/>
          <w:sz w:val="20"/>
        </w:rPr>
        <w:t>Dorchester Minerals, L.P. is a Dallas based owner of producing and non-producing crude oil and natural gas mineral, royalty, overriding royalty, net profits, and leasehold interests in 28 states. Its common units trade on the NASDAQ Global Select Market under the symbol DMLP.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left"/>
        <w:rPr>
          <w:rFonts w:ascii="Times New Roman" w:hAnsi="Times New Roman"/>
          <w:caps w:val="false"/>
          <w:smallCaps w:val="false"/>
          <w:sz w:val="20"/>
        </w:rPr>
      </w:pPr>
      <w:r>
        <w:rPr>
          <w:rFonts w:ascii="Times New Roman" w:hAnsi="Times New Roman"/>
          <w:caps w:val="false"/>
          <w:smallCaps w:val="false"/>
          <w:sz w:val="20"/>
        </w:rPr>
        <w:t>Portions of this document may constitute "forward-looking statements" as defined by federal law. Such statements are subject to certain risks, uncertainties and assumptions. Should one or more of these risks or uncertainties materialize, or should underlying assumptions prove incorrect, actual results may vary materially from those anticipated, estimated or projected. Examples of such uncertainties and risk factors include, but are not limited to, changes in the price or demand for oil and natural gas, changes in the operations on or development of the Partnership’s properties, changes in economic and industry conditions and changes in regulatory requirements (including changes in environmental requirements) and the Partnership’s financial position, business strategy and other plans and objectives for future operations. These and other factors are set forth in the Partnership's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909</Words>
  <Characters>5070</Characters>
  <CharactersWithSpaces>6007</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