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mlp20260313_def14a.htm"/>
      <w:bookmarkStart w:id="1" w:name="ksdmlp20260313_def14a"/>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 Pursuant to Section 14(a) of</w:t>
      </w:r>
      <w:r>
        <w:rPr>
          <w:rFonts w:ascii="Times New Roman" w:hAnsi="Times New Roman"/>
          <w:caps w:val="false"/>
          <w:smallCaps w:val="false"/>
          <w:sz w:val="20"/>
        </w:rPr>
        <w:br/>
      </w:r>
      <w:r>
        <w:rPr>
          <w:rFonts w:ascii="Times New Roman" w:hAnsi="Times New Roman"/>
          <w:b/>
          <w:caps w:val="false"/>
          <w:smallCaps w:val="false"/>
          <w:sz w:val="20"/>
        </w:rPr>
        <w:t>the Securities Exchange Act of 1934</w:t>
      </w:r>
      <w:r>
        <w:rPr>
          <w:rFonts w:ascii="Times New Roman" w:hAnsi="Times New Roman"/>
          <w:caps w:val="false"/>
          <w:smallCaps w:val="false"/>
          <w:sz w:val="20"/>
        </w:rPr>
        <w:br/>
      </w:r>
      <w:r>
        <w:rPr>
          <w:rFonts w:ascii="Times New Roman" w:hAnsi="Times New Roman"/>
          <w:b/>
          <w:caps w:val="false"/>
          <w:smallCaps w:val="false"/>
          <w:sz w:val="20"/>
        </w:rPr>
        <w:t>(Amendment No.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90"/>
        <w:gridCol w:w="6695"/>
      </w:tblGrid>
      <w:tr>
        <w:trPr/>
        <w:tc>
          <w:tcPr>
            <w:tcW w:w="29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69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30"/>
        <w:gridCol w:w="360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DORCHESTER MINERALS, L.P.</w:t>
      </w:r>
      <w:r>
        <w:rPr>
          <w:rFonts w:ascii="Times New Roman" w:hAnsi="Times New Roman"/>
          <w:caps w:val="false"/>
          <w:smallCaps w:val="false"/>
          <w:sz w:val="20"/>
        </w:rPr>
        <w:br/>
      </w:r>
      <w:r>
        <w:rPr>
          <w:rFonts w:ascii="Times New Roman" w:hAnsi="Times New Roman"/>
          <w:b/>
          <w:caps w:val="false"/>
          <w:smallCaps w:val="false"/>
          <w:sz w:val="20"/>
        </w:rPr>
        <w:t>(Name of Registrant as Specified In Its Charter)</w:t>
      </w:r>
      <w:r>
        <w:rPr>
          <w:rFonts w:ascii="Times New Roman" w:hAnsi="Times New Roman"/>
          <w:caps w:val="false"/>
          <w:smallCaps w:val="false"/>
          <w:sz w:val="20"/>
        </w:rPr>
        <w:br/>
      </w:r>
      <w:r>
        <w:rPr>
          <w:rFonts w:ascii="Times New Roman" w:hAnsi="Times New Roman"/>
          <w:b/>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30"/>
        <w:gridCol w:w="1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bl>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230"/>
        <w:gridCol w:w="38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bl>
    <w:p>
      <w:pPr>
        <w:pStyle w:val="TextBody"/>
        <w:bidi w:val="0"/>
        <w:spacing w:before="0" w:after="0"/>
        <w:ind w:left="0" w:right="0" w:hanging="0"/>
        <w:jc w:val="left"/>
        <w:rPr/>
      </w:pPr>
      <w:r>
        <w:rPr/>
        <w:t> </w:t>
      </w:r>
    </w:p>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Dorchester Minerals, L.P.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3838 Oak Lawn Avenue, Suite 300</w:t>
      </w:r>
      <w:r>
        <w:rPr>
          <w:rFonts w:ascii="Times New Roman" w:hAnsi="Times New Roman"/>
          <w:caps w:val="false"/>
          <w:smallCaps w:val="false"/>
          <w:sz w:val="20"/>
        </w:rPr>
        <w:br/>
      </w:r>
      <w:r>
        <w:rPr>
          <w:rFonts w:ascii="Times New Roman" w:hAnsi="Times New Roman"/>
          <w:b/>
          <w:caps w:val="false"/>
          <w:smallCaps w:val="false"/>
          <w:sz w:val="20"/>
        </w:rPr>
        <w:t>Dallas, Texas 75219-4541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April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To our fellow Unitholders: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results during 2025 were mainly driven by lower industrywide realized oil prices versus 2024, decreases in NPI properties oil and natural gas sales volumes due to lower drilling activity in the Bakken region, and increased capital expenditures deducted under the NPI calculation, offset by increases in Royalty Properties oil and natural gas sales volumes from incremental production from 2024 and 2025 acquisitions and continued drilling activity in the Rockies,  increased leasing activity, and higher industrywide realized natural gas sales prices versus 2024. Significant results include the following:</w:t>
      </w:r>
    </w:p>
    <w:p>
      <w:pPr>
        <w:pStyle w:val="TextBody"/>
        <w:bidi w:val="0"/>
        <w:spacing w:before="0" w:after="0"/>
        <w:ind w:left="160" w:right="0" w:firstLine="36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of $57.4 million;</w:t>
            </w:r>
          </w:p>
        </w:tc>
      </w:tr>
    </w:tbl>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60"/>
        <w:gridCol w:w="170"/>
        <w:gridCol w:w="44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Distributions of $132.0 million to our limited partners;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Acquisition of approximately 3,050 net royalty acres of mineral interests located in Adams County, Colorado in exchange for 915,694 common units representing limited partnership interests in the Partnership valued at $23.0 million and issued pursuant to the Partnership’s registration statement on Form S-4;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First payments on 761 gross and 5 net new wells on our Royalty Properties, of which 250 gross and three net wells were attributable to our 2024 and 2025 acquisitions, and on 108 gross and one net new well on our NPI properties. The wells were located in 43 counties and parishes in seven states with the majority of the activity concentrated in the Permian Basin, the Rockies, and the Bakken region. Included in these totals are wells in which we own both a royalty interest and a net profits overriding royalty interest. Wells with such overlapping interests are counted in both categories;</w:t>
            </w:r>
          </w:p>
        </w:tc>
      </w:tr>
    </w:tbl>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Assignment of leasehold interest in Upton County, Texas, with proceeds totaling $5.4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bonus of $4.0 million includes consummation of leases or extension of existing leases of our mineral interests in undeveloped properties located in 13 counties in five states. Of the $4.0 million, $3.6 million was attributable to an extension of an existing lease on 243 net acres in two tracts of land in Reagan County, Texas for $15,000 per acre and a 25% royalty.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enclosed Annual Report on Form 10-K includes information about activity on our Royalty Properties and Net Profits Interest. We encourage you to read this information and to contact us with any questions about your investment. In addition, the enclosed Proxy Statement contains important information concerning matters to be voted upon at our 2026 Annual Meeting. Please read the Proxy Statement and submit your vote at your earliest convenience.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value you as partners and thank you for your continued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Bradley J. Ehrman</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Dorchester Minerals, L.P.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3838 Oak Lawn Avenue, Suite 300</w:t>
      </w:r>
      <w:r>
        <w:rPr>
          <w:rFonts w:ascii="Times New Roman" w:hAnsi="Times New Roman"/>
          <w:caps w:val="false"/>
          <w:smallCaps w:val="false"/>
          <w:sz w:val="20"/>
        </w:rPr>
        <w:br/>
      </w:r>
      <w:r>
        <w:rPr>
          <w:rFonts w:ascii="Times New Roman" w:hAnsi="Times New Roman"/>
          <w:b/>
          <w:caps w:val="false"/>
          <w:smallCaps w:val="false"/>
          <w:sz w:val="20"/>
        </w:rPr>
        <w:t>Dallas, Texas 75219-4541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NOTICE OF ANNUAL MEETING OF LIMITED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Be Held on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Unitholders of Dorchester Minerals: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Annual Meeting of the Limited Partners of Dorchester Minerals, L.P. will be held at 2:00 p.m. Central Time on May 13, 2026, at the offices of Willkie Farr &amp; Gallagher LLP, 2699 Howell Street, Dallas, TX 75204,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7"/>
        <w:gridCol w:w="9988"/>
      </w:tblGrid>
      <w:tr>
        <w:trPr/>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three managers who will serve on the Board of Managers and be appointed to the Advisory Committee until the 2027 Annual Meeting of Limited Partners;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both"/>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the appointment of Grant Thornton LLP as our independent registered public accounting firm for the year ending December 31,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8"/>
        <w:gridCol w:w="9987"/>
      </w:tblGrid>
      <w:tr>
        <w:trPr/>
        <w:tc>
          <w:tcPr>
            <w:tcW w:w="60" w:type="dxa"/>
            <w:tcBorders/>
            <w:vAlign w:val="center"/>
          </w:tcPr>
          <w:p>
            <w:pPr>
              <w:pStyle w:val="TableContents"/>
              <w:bidi w:val="0"/>
              <w:spacing w:before="0" w:after="283"/>
              <w:jc w:val="both"/>
              <w:rPr/>
            </w:pPr>
            <w:r>
              <w:rPr/>
              <w:t> </w:t>
            </w:r>
          </w:p>
        </w:tc>
        <w:tc>
          <w:tcPr>
            <w:tcW w:w="1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8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hold an advisory vote on the compensation of our named executive officers, as disclosed pursuant to Item 402 of Regulation S-K or any successor thereto; and</w:t>
            </w:r>
          </w:p>
        </w:tc>
      </w:tr>
    </w:tbl>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5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consider any other matters that may properly come before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Only holders of record of common units as of the close of business on March 20, 2026 and valid proxy holders are entitled to notice of, and to vote at, the meeting. Unitholders who do not intend to vote at the 2026 Annual Meeting may continue to vote at www.proxyvote.com until 11:59 p.m. Eastern Time the day before the meeting date and in accordance with the instructions in the Partnership’s proxy materials. Unitholders may also submit questions for the 2026 Annual Meeting at annualmeeting@dmlp.net until 11:59 p.m. Eastern Time five days prior to the date of the 2026 Annual Meeting.</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YOUR VOTE IS IMPORTANT. WHETHER OR NOT YOU EXPECT TO BE PRESENT AT THE ANNUAL MEETING, WE URGE YOU TO VOTE USING ONE OF THE VOTING METHODS DESCRIBED IN THE ATTACHED MATERIALS AT YOUR EARLIEST CONVENIENCE.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Board of Managers of</w:t>
        <w:br/>
        <w:t>Dorchester Minerals Management GP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Robert C. Vaughn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C. Vaughn</w:t>
        <w:br/>
        <w:t>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Important Notice Regarding the Availability of Proxy Materials for the Annual Meeting of Limited Partners to be Held on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The Partnership</w:t>
      </w:r>
      <w:r>
        <w:rPr>
          <w:rFonts w:ascii="Times New Roman" w:hAnsi="Times New Roman"/>
          <w:caps w:val="false"/>
          <w:smallCaps w:val="false"/>
          <w:sz w:val="20"/>
        </w:rPr>
        <w:t>’</w:t>
      </w:r>
      <w:r>
        <w:rPr>
          <w:rFonts w:ascii="Times New Roman" w:hAnsi="Times New Roman"/>
          <w:b/>
          <w:i/>
          <w:caps w:val="false"/>
          <w:smallCaps w:val="false"/>
          <w:sz w:val="20"/>
        </w:rPr>
        <w:t>s Proxy Statement for the 2026 Annual Meeting of Limited Partners and Annual Report on Form 10-K for the fiscal year ended December 31, 2025 are available at www.dmlp.net.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Dorchester Minerals, L.P.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3838 Oak Lawn Avenue, Suite 300</w:t>
      </w:r>
      <w:r>
        <w:rPr>
          <w:rFonts w:ascii="Times New Roman" w:hAnsi="Times New Roman"/>
          <w:caps w:val="false"/>
          <w:smallCaps w:val="false"/>
          <w:sz w:val="20"/>
        </w:rPr>
        <w:br/>
      </w:r>
      <w:r>
        <w:rPr>
          <w:rFonts w:ascii="Times New Roman" w:hAnsi="Times New Roman"/>
          <w:b/>
          <w:caps w:val="false"/>
          <w:smallCaps w:val="false"/>
          <w:sz w:val="20"/>
        </w:rPr>
        <w:t>Dallas, Texas 75219-4541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 STATEMENT</w:t>
      </w:r>
      <w:r>
        <w:rPr>
          <w:rFonts w:ascii="Times New Roman" w:hAnsi="Times New Roman"/>
          <w:caps w:val="false"/>
          <w:smallCaps w:val="false"/>
          <w:sz w:val="20"/>
        </w:rPr>
        <w:br/>
      </w:r>
      <w:r>
        <w:rPr>
          <w:rFonts w:ascii="Times New Roman" w:hAnsi="Times New Roman"/>
          <w:b/>
          <w:caps w:val="false"/>
          <w:smallCaps w:val="false"/>
          <w:sz w:val="20"/>
        </w:rPr>
        <w:t>For</w:t>
      </w:r>
      <w:r>
        <w:rPr>
          <w:rFonts w:ascii="Times New Roman" w:hAnsi="Times New Roman"/>
          <w:caps w:val="false"/>
          <w:smallCaps w:val="false"/>
          <w:sz w:val="20"/>
        </w:rPr>
        <w:br/>
      </w:r>
      <w:r>
        <w:rPr>
          <w:rFonts w:ascii="Times New Roman" w:hAnsi="Times New Roman"/>
          <w:b/>
          <w:caps w:val="false"/>
          <w:smallCaps w:val="false"/>
          <w:sz w:val="20"/>
        </w:rPr>
        <w:t>ANNUAL MEETING OF LIMITED PARTNERS</w:t>
      </w:r>
      <w:r>
        <w:rPr>
          <w:rFonts w:ascii="Times New Roman" w:hAnsi="Times New Roman"/>
          <w:caps w:val="false"/>
          <w:smallCaps w:val="false"/>
          <w:sz w:val="20"/>
        </w:rPr>
        <w:br/>
      </w:r>
      <w:r>
        <w:rPr>
          <w:rFonts w:ascii="Times New Roman" w:hAnsi="Times New Roman"/>
          <w:b/>
          <w:caps w:val="false"/>
          <w:smallCaps w:val="false"/>
          <w:sz w:val="20"/>
        </w:rPr>
        <w:t>To Be Held on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SOLICITATION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Statement is being furnished to holders of common units (“Unitholders”) in connection with the solicitation of proxies by our Board of Managers for use at the Dorchester Minerals, L.P. 2026 Annual Meeting (the “2026 Annual Meeting”). In this Proxy Statement, the term “Partnership,” as well as the terms “us,” “our,” “we,” and “its” are sometimes used as abbreviated references to Dorchester Minerals, L.P. itself or Dorchester Minerals, L.P. and its related entities. Our general partner is Dorchester Minerals Management LP, and its general partner is Dorchester Minerals Management GP LLC. As a result, the Board of Managers of Dorchester Minerals Management GP LLC (the “Board of Managers”) exercises effective control of us. Dorchester Minerals Management LP is referred to herein as our general partner, and Dorchester Minerals Management GP LLC is referred to herein as the “general partner of our general partner.” The approximate date on which definitive copies of this Proxy Statement and form of proxy are intended to be released to Unitholders is April 8, 2026.</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When and Where Is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2026 Annual Meeting will be held at 2:00 p.m. Central Time on May 13, 2026, at the offices of Willkie Farr &amp; Gallagher LLP, 2699 Howell Street, Dallas, TX 75204.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What Are The Board of Managers’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(i) elect three managers who will serve on the Board of Managers and be appointed to the Advisory Committee of the Board of Managers (the “Advisory Committee”); (ii) approve the appointment of Grant Thornton LLP as our independent registered public accounting firm for the year ending December 31, 2026; and (iii) approve, by a non-binding advisory vote, the compensation paid to the Partnership’s named executive officers; as described in this Proxy Statement.</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How Does the Board of Managers Recommend I Vote on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recommends a vote:</w:t>
      </w:r>
    </w:p>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170"/>
        <w:gridCol w:w="7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61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FOR” each of the nominees to serve on the Board of Managers and the Advisory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3"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FOR” the appointment of Grant Thornton LLP as our independent registered public accounting firm for the year ending December 31, 2026; and</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0"/>
        <w:gridCol w:w="170"/>
        <w:gridCol w:w="7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7475"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caps w:val="false"/>
                <w:smallCaps w:val="false"/>
                <w:sz w:val="20"/>
              </w:rPr>
              <w:t>FOR” the approval of the compensation paid to the Partnership’s named executive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How Will Voting On Any Other Business Be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does not know of any business to be considered at the 2026 Annual Meeting other than the proposals described in this Proxy Statement. However, if any other business is properly presented, your signed proxy card gives authority to the persons named in the proxy to vote on such matters at their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Who Is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Unitholder as of the close of business on March 20, 2026, the record date, is entitled to vote at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How Many Units May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record date, 48,255,450 units were outstanding. Each unit entitles its holder to one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What is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quorum is established if a majority of the outstanding units are represented in person or by proxy at the 2026 Annual Meeting. There must be a quorum for the 2026 Annual Meeting to be held. If you submit a properly executed proxy card, you will be considered part of the quorum. Proxies received by us that are marked “withhold authority” or abstain, or that constitute a broker non-vote, are counted as present for purposes of establishing a quorum. A broker non-vote occurs when a broker returns a valid proxy but does not vote on a particular matter because the broker does not have the discretionary voting power for that matter and has not received instructions from the beneficial owner.</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What Vote Is Required to Approve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holders of a plurality of the outstanding units is required to elect each manager to the Board of Managers. Thus, any abstentions, broker non-votes or other limited proxies will have no effect on the outcome of the election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holders of a majority of the units present in person or represented by proxy at the 2026 Annual Meeting and entitled to vote thereon is required to approve the appointment of Grant Thornton LLP as our registered independent public accounting firm for the year ending December 31, 2026. Abstentions will have the effect of votes against the proposal to approve Grant Thornton LLP as our independent public accounting firm, but other limited proxies will have no effect on this proposal. Because intermediaries will have discretion to vote units without the direction of their clients with respect to this proposal, there will not be any broker non-votes with respect to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Unitholder vote regarding the “Say-on-Pay” proposal is non-binding and solely advisory in nature; accordingly, abstentions, broker non-votes and other limited proxies will have no effect on this proposal. Our Board of Managers will carefully review and consider the voting results when making future decisions regarding our executive compensation program.</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may vote by any one of four different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Writing - You can vote by marking, signing and dating the enclosed proxy card and returning it in the enclosed envelope. If you return your signed proxy card, but do not give instructions as to how you wish to vote, your units will be voted FOR proposal nos. 1, 2 and 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7"/>
        <w:gridCol w:w="9928"/>
      </w:tblGrid>
      <w:tr>
        <w:trPr/>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 Telephone - You can vote by calling the telephone number on the proxy card up until 11:59 p.m. Eastern Time on May 12, 2026 and following the instructions. Please have your proxy card in hand when calling;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Over the Internet - You can vote by going to www.proxyvote.com up until 11:59 p.m. Eastern Time on May 12, 2026 to transmit your voting instructions using your 16-digit control number provided on your proxy card or voting instructions form; or</w:t>
            </w:r>
          </w:p>
        </w:tc>
      </w:tr>
    </w:tbl>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60"/>
        <w:gridCol w:w="245"/>
        <w:gridCol w:w="52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5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Person - You can vote by attending the 2026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Units represented by properly executed proxies that are not revoked will be voted in accordance with the instructions shown on the proxy card. You have the right to revoke your proxy at any time before the 2026 Annual Meeting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Delivering to Dorchester Minerals, L.P., Attn: 2026 Annual Meeting, 3838 Oak Lawn Avenue, Suite 300, Dallas, Texas, 75219-4541, a written revocation;</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60"/>
        <w:gridCol w:w="245"/>
        <w:gridCol w:w="39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3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Voting in person at the 2026 Annual Meeting; or</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230"/>
        <w:gridCol w:w="28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2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Returning a later-dated proxy card.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Attendance at the 2026 Annual Meeting will not, without further action by you, revoke your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Unitholders have no dissenters’ rights or rights of appraisal under Delaware law or our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What Does It Mean If I Receive More Than One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your units are registered differently and/or are in more than one account, you will receive more than one proxy card. Please mark, sign, date, and return all of the proxy cards you receive to ensure that all of your units are voted. We encourage you to have all accounts registered in the same name and address (whenever possible). You can accomplish this by contacting our transfer agent, Equiniti Trust Company, LLC (formerly American Stock Transfer &amp; Trust Company, LLC), at (800) 937-5449.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How Can I Vote If My Units Are Held in “Street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your units are held in the name of your broker, a bank, or other nominee, that party will give you instructions about how to vote your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Who Will Count the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Representatives of Broadridge Investor Communication Services, an independent tabulator, will count the votes and act as the inspector of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Where and When Will I Be Able to Find Out the Results of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announcing the results at the 2026 Annual Meeting, you will also be able to find the results in our Form 8-K that will be publicly filed within four business days of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mallCaps/>
          <w:sz w:val="20"/>
        </w:rPr>
      </w:pPr>
      <w:r>
        <w:rPr>
          <w:rFonts w:ascii="Times New Roman" w:hAnsi="Times New Roman"/>
          <w:smallCaps/>
          <w:sz w:val="20"/>
        </w:rPr>
        <w:t>Who Is Bearing the Cost Of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proxy solicitation by the Partnership is being made by the Partnership on behalf of the Board of Managers. We are bearing the cost of soliciting proxies for the 2026 Annual Meeting. In addition to using the mail, managers, officers, and employees of the Partnership may solicit proxies by telephone, personal interview or otherwise. Our managers, officers and employees will not receive additional compensation for this activity but may be reimbursed for their reasonable out-of-pocket expenses. We will reimburse brokerage houses and other custodians, nominees and fiduciaries for reasonable out-of-pocket expenses for forwarding proxy and solicitation materials to Unitholders.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How Can I Obtain A Copy of the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our 2025 Annual Report on Form 10-K, including the consolidated financial statements filed therewith is included with this Proxy Statement. We will provide an additional copy of our 2025 Annual Report on Form 10-K, including the consolidated financial statements, upon written request to Dorchester Minerals, L.P., Attn: 2026 Annual Meeting, 3838 Oak Lawn Avenue, Suite 300, Dallas, Texas 75219-4541. We will furnish a requesting Unitholder with any exhibit not contained therein upon payment of a reasonable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When Are the Unitholder Proposals For the 2027 Annual Meeting of Limited Partners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presently expect that our next Annual Meeting of Limited Partners will be held on May 12, 2027. Unitholder proposals for inclusion in the proxy materials relating to the 2027 Annual Meeting must be received at our principal executive office at 3838 Oak Lawn Avenue, Suite 300, Dallas, Texas 75219-4541, addressed to our general partner no later than December 3, 2026. In accordance with our Partnership Agreement, Unitholders who intend to present a proposal at the 2027 Annual Meeting without inclusion of such proposal in our proxy materials are required to provide notice of such proposal to us no later than March 13, 2027, and Unitholders who intend to nominate a manager for election to the Board of Managers and Advisory Committee are required to provide notice of such proposal to us no later than February 11, 2027. Unitholders who intend to nominate and solicit proxies in support of manager nominees to the Board of Managers and Advisory Committee other than the Partnership’s nominees must comply with the applicable provisions of Rule 14a-19 and provide notice of such proposal no later than February 11, 2027. If the date of the 2027 Annual Meeting is changed to a different month, we will advise our Unitholders of the new date for the submission of Unitholder proposals in one of our periodic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Who should I contact if I have questions or need assistance voting my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have more questions about the proposals, need assistance voting your units or if you would like additional copies of this document you should call or write: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Dorchester Minerals, L.P.</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3838 Oak Lawn Avenue, Suite 300</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Dallas, TX 75219</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(214) 559-0300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regarding the beneficial ownership of our common units as of April 2, 2026. The information is set forth for (i) each nominee and current manager and named executive officer of the general partner of our general partner, (ii) all executive officers and managers of the general partner of our general partner as a group, and (iii) all those known by us to be beneficial owners of more than 5% of our common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determined beneficial ownership in accordance with the rules of the Securities and Exchange Commission, and thus it represents sole or shared voting or investment power with respect to our common units. Unless otherwise indicated below, to our knowledge, the persons named in the table have sole voting and sole investment power with respect to all common units that they beneficially owned, subject to community property laws where applicable.</w:t>
      </w:r>
    </w:p>
    <w:p>
      <w:pPr>
        <w:pStyle w:val="TextBody"/>
        <w:bidi w:val="0"/>
        <w:spacing w:before="0" w:after="0"/>
        <w:ind w:left="0" w:right="0" w:hanging="0"/>
        <w:jc w:val="left"/>
        <w:rPr>
          <w:caps w:val="false"/>
          <w:smallCaps w:val="false"/>
        </w:rPr>
      </w:pPr>
      <w:r>
        <w:rPr>
          <w:caps w:val="false"/>
          <w:smallCaps w:val="false"/>
        </w:rPr>
        <w:t> </w:t>
      </w:r>
    </w:p>
    <w:tbl>
      <w:tblPr>
        <w:tblW w:w="8703" w:type="dxa"/>
        <w:jc w:val="left"/>
        <w:tblInd w:w="0" w:type="dxa"/>
        <w:tblLayout w:type="fixed"/>
        <w:tblCellMar>
          <w:top w:w="0" w:type="dxa"/>
          <w:left w:w="0" w:type="dxa"/>
          <w:bottom w:w="28" w:type="dxa"/>
          <w:right w:w="0" w:type="dxa"/>
        </w:tblCellMar>
      </w:tblPr>
      <w:tblGrid>
        <w:gridCol w:w="6140"/>
        <w:gridCol w:w="60"/>
        <w:gridCol w:w="62"/>
        <w:gridCol w:w="902"/>
        <w:gridCol w:w="60"/>
        <w:gridCol w:w="60"/>
        <w:gridCol w:w="220"/>
        <w:gridCol w:w="1014"/>
        <w:gridCol w:w="185"/>
      </w:tblGrid>
      <w:tr>
        <w:trPr/>
        <w:tc>
          <w:tcPr>
            <w:tcW w:w="61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Beneficial Owner (1)</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Beneficial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Ownership</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 (1)</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 (2)</w:t>
            </w:r>
          </w:p>
        </w:tc>
        <w:tc>
          <w:tcPr>
            <w:tcW w:w="185" w:type="dxa"/>
            <w:tcBorders>
              <w:bottom w:val="single" w:sz="2" w:space="0" w:color="000000"/>
            </w:tcBorders>
            <w:vAlign w:val="center"/>
          </w:tcPr>
          <w:p>
            <w:pPr>
              <w:pStyle w:val="TableContents"/>
              <w:bidi w:val="0"/>
              <w:spacing w:before="0" w:after="283"/>
              <w:jc w:val="left"/>
              <w:rPr/>
            </w:pPr>
            <w:r>
              <w:rPr/>
              <w:t> </w:t>
            </w:r>
          </w:p>
        </w:tc>
      </w:tr>
      <w:tr>
        <w:trPr/>
        <w:tc>
          <w:tcPr>
            <w:tcW w:w="61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Officers, Managers and Nominees to be Managers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0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61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Casey McManemin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1,233,039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CCEE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C. Vaughn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9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540,548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10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FFFF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Martha P. Rochelle (6)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542,974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40" w:type="dxa"/>
            <w:tcBorders/>
            <w:shd w:fill="CCEE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H.C. Allen, Jr. (7)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9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283,223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10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6140" w:type="dxa"/>
            <w:tcBorders/>
            <w:shd w:fill="FFFF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Albert G. Nance, III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6140" w:type="dxa"/>
            <w:tcBorders/>
            <w:shd w:fill="CCEE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Lesley R. Carver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9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10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6140" w:type="dxa"/>
            <w:tcBorders/>
            <w:shd w:fill="FFFF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Allen D. Lassiter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6140" w:type="dxa"/>
            <w:tcBorders/>
            <w:shd w:fill="CCEE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 Troy Sturrock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9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10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6140" w:type="dxa"/>
            <w:tcBorders/>
            <w:shd w:fill="FFFF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Sarah N. Wariner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61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 Damon Box (12)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9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10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6140" w:type="dxa"/>
            <w:tcBorders/>
            <w:shd w:fill="FFFF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Bradley J. Ehrman (13)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6140" w:type="dxa"/>
            <w:tcBorders/>
            <w:shd w:fill="CCEEFF" w:val="clear"/>
            <w:tcMar>
              <w:bottom w:w="0" w:type="dxa"/>
            </w:tcM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Leslie A. Moriyama (14)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9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ind w:left="0" w:right="0" w:hanging="0"/>
              <w:jc w:val="left"/>
              <w:rPr/>
            </w:pPr>
            <w:r>
              <w:rPr/>
              <w:t> </w:t>
            </w:r>
          </w:p>
        </w:tc>
        <w:tc>
          <w:tcPr>
            <w:tcW w:w="101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614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Executive Officers and Managers and Nominees to be Managers (twelve</w:t>
            </w:r>
          </w:p>
          <w:p>
            <w:pPr>
              <w:pStyle w:val="TableContents"/>
              <w:bidi w:val="0"/>
              <w:spacing w:before="0" w:after="0"/>
              <w:jc w:val="left"/>
              <w:rPr/>
            </w:pPr>
            <w:r>
              <w:rPr/>
              <w:t> </w:t>
            </w:r>
            <w:r>
              <w:rPr>
                <w:rFonts w:ascii="Times New Roman;Times;serif" w:hAnsi="Times New Roman;Times;serif"/>
                <w:sz w:val="20"/>
              </w:rPr>
              <w:t>persons) (15)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9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2,847,551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0" w:type="dxa"/>
            <w:tcBorders/>
            <w:shd w:fill="FFFFFF" w:val="clear"/>
            <w:tcMar>
              <w:bottom w:w="0" w:type="dxa"/>
            </w:tcMar>
            <w:vAlign w:val="center"/>
          </w:tcPr>
          <w:p>
            <w:pPr>
              <w:pStyle w:val="TableContents"/>
              <w:bidi w:val="0"/>
              <w:spacing w:before="0" w:after="283"/>
              <w:ind w:left="0" w:right="0" w:hanging="0"/>
              <w:jc w:val="left"/>
              <w:rPr/>
            </w:pPr>
            <w:r>
              <w:rPr/>
              <w:t> </w:t>
            </w:r>
          </w:p>
        </w:tc>
        <w:tc>
          <w:tcPr>
            <w:tcW w:w="101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*Less than one percent (1%)</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245"/>
        <w:gridCol w:w="584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of the record date, there were 48,255,450 common units outstanding.</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245"/>
        <w:gridCol w:w="665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6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individuals not listed in the chart above hold 5% or more of all common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Unless otherwise indicated, the business address of each manager and executive officer of the general partner of our general partner is c/o Dorchester Minerals Management GP LLC, 3838 Oak Lawn Avenue, Suite 300, Dallas, Texas 75219-4541.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4" w:type="dxa"/>
            <w:tcBorders/>
            <w:vAlign w:val="center"/>
          </w:tcPr>
          <w:p>
            <w:pPr>
              <w:pStyle w:val="TableContents"/>
              <w:bidi w:val="0"/>
              <w:spacing w:before="0" w:after="283"/>
              <w:jc w:val="left"/>
              <w:rPr>
                <w:sz w:val="20"/>
              </w:rPr>
            </w:pPr>
            <w:r>
              <w:rPr>
                <w:sz w:val="20"/>
              </w:rPr>
              <w:t>Includes 706,481 common units held by Mr. McManemin in his individual name, IRA or Keogh Plan, 467,803 common units held by 1307, Ltd., 5,531 common units held by SAM Partners Management, Inc., and 53,224 common units held by Smith Allen Oil &amp; Gas, LLP. Mr. McManemin disclaims beneficial ownership of those common units owned by 1307, Ltd., SAM Partners Management, Inc., and Smith Allen Oil &amp; Gas, LLP in which he does not have an economic interest but which he may be deemed to beneficially own based on shared voting and investment power. Mr. McManemin is individually the Manager of the General Partner and is a limited partner of 1307, Ltd. All of the remaining limited partner interest of 1307, Ltd. is owned by Mr. McManemin’s spouse and two trusts on behalf of his children, of which he is the Trustee. Mr. McManemin is the President and a shareholder of SAM Partners Management, Inc. and is the managing partner in Smith Allen Oil &amp; Gas, LLP.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11" w:type="dxa"/>
            <w:tcBorders/>
            <w:vAlign w:val="center"/>
          </w:tcPr>
          <w:p>
            <w:pPr>
              <w:pStyle w:val="TableContents"/>
              <w:bidi w:val="0"/>
              <w:spacing w:before="0" w:after="283"/>
              <w:jc w:val="left"/>
              <w:rPr>
                <w:sz w:val="20"/>
              </w:rPr>
            </w:pPr>
            <w:r>
              <w:rPr>
                <w:sz w:val="20"/>
              </w:rPr>
              <w:t>Includes 500,000 common units held by Vaughn Petroleum (DMLP), LLC, 20,001 common units held by Empire Partners, Ltd., and 20,547 common units held by Mr. Vaughn in his individual name, IRA or Keogh Plan. Mr. Vaughn and his spouse are the only partners of the general partnership that owns all the partnership interests in Vaughn Petroleum (DMLP), LLC. Mr. Vaughn is the President of Empire (GP), Inc. the general partner of Empire Partners, Ltd., and Mr. Vaughn and his spouse are the shareholders of Empire (GP), Inc. All of the remaining limited partner interest of Empire Partners, Ltd. is owned by Mr. Vaughn, his spouse, and two trusts of which the children of Mr. Vaughn and his spouse are both the trustees and beneficiaries.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8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358,486 common units held in the Martha Ann Peak A Trust and 184,488 common units held by the MARI Trust. Ms. Rochelle is the trustee and beneficiary of the MARI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10016" w:type="dxa"/>
            <w:tcBorders/>
            <w:vAlign w:val="center"/>
          </w:tcPr>
          <w:p>
            <w:pPr>
              <w:pStyle w:val="TableContents"/>
              <w:bidi w:val="0"/>
              <w:spacing w:before="0" w:after="283"/>
              <w:jc w:val="left"/>
              <w:rPr>
                <w:sz w:val="20"/>
              </w:rPr>
            </w:pPr>
            <w:r>
              <w:rPr>
                <w:sz w:val="20"/>
              </w:rPr>
              <w:t>Includes 30,600 common units held by the Allen Credit Shelter Trust, 30,608 common units held by Mr. Allen in his individual name, IRA or Keogh plan, 154,840 common units held by Rabbitfoot Investments, LLC, 5,531 units held by SAM Partners Management, Inc., 53,224 common units held by Smith Allen Oil &amp; Gas, LLP and 8,420 common units held by Mega Petroleum, Inc. Mr. Allen disclaims beneficial ownership of those common units owned by Rabbitfoot Investments, LLC, SAM Partners Management, Inc. and Smith Allen Oil &amp; Gas, LLP in which he does not have an economic interest but which he may be deemed to beneficially own based on shared voting and investment power. Mr. Allen is the Secretary and a shareholder of SAM Partners Management, Inc. and Smith Allen Oil &amp; Gas, LLP. Rabbitfoot Investments, LLC is owned by Rabbitfoot Ranch and Cattle Company, Ltd. and its general partner is RR&amp;CC Management, LLC which is owned by Mr. Allen and the estate of Kay Allen. All of the limited partner interest in Rabbitfoot Ranch and Cattle Company, Ltd. is owned by Mr. Allen’s children. Mr. Allen is the Trustee of the Allen Credit Shelter Trust and the Allen Surviving Settlors Trust. Mr. Allen is the President of Mega Petroleum, Inc. and disclaims beneficial ownership of these units. This report shall not be deemed an admission that the reporting person is the beneficial owner of the securities owned by Mega Petroleum, Inc. for any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425" w:type="dxa"/>
        <w:jc w:val="left"/>
        <w:tblInd w:w="0" w:type="dxa"/>
        <w:tblLayout w:type="fixed"/>
        <w:tblCellMar>
          <w:top w:w="0" w:type="dxa"/>
          <w:left w:w="0" w:type="dxa"/>
          <w:bottom w:w="0" w:type="dxa"/>
          <w:right w:w="0" w:type="dxa"/>
        </w:tblCellMar>
      </w:tblPr>
      <w:tblGrid>
        <w:gridCol w:w="245"/>
        <w:gridCol w:w="518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5180" w:type="dxa"/>
            <w:tcBorders/>
            <w:vAlign w:val="center"/>
          </w:tcPr>
          <w:p>
            <w:pPr>
              <w:pStyle w:val="TableContents"/>
              <w:bidi w:val="0"/>
              <w:spacing w:before="0" w:after="283"/>
              <w:jc w:val="left"/>
              <w:rPr>
                <w:sz w:val="20"/>
              </w:rPr>
            </w:pPr>
            <w:r>
              <w:rPr>
                <w:sz w:val="20"/>
              </w:rPr>
              <w:t>Includes 15,419 common units held individually by Mr. Nance.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(9)</w:t>
            </w:r>
          </w:p>
        </w:tc>
        <w:tc>
          <w:tcPr>
            <w:tcW w:w="9998" w:type="dxa"/>
            <w:tcBorders/>
            <w:vAlign w:val="center"/>
          </w:tcPr>
          <w:p>
            <w:pPr>
              <w:pStyle w:val="TableContents"/>
              <w:bidi w:val="0"/>
              <w:spacing w:before="0" w:after="283"/>
              <w:jc w:val="left"/>
              <w:rPr>
                <w:sz w:val="20"/>
              </w:rPr>
            </w:pPr>
            <w:r>
              <w:rPr>
                <w:sz w:val="20"/>
              </w:rPr>
              <w:t>Includes 10,313 common units held by Ms. Carver in her individual name or her spouse’s name. Ms. Carver disclaims beneficial ownership of those common units owned by her spouse in which she does not have a pecuniary interest, but which she may be deemed to own based on voting and investment power.</w:t>
            </w:r>
          </w:p>
        </w:tc>
      </w:tr>
    </w:tbl>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350"/>
        <w:gridCol w:w="530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5300" w:type="dxa"/>
            <w:tcBorders/>
            <w:vAlign w:val="center"/>
          </w:tcPr>
          <w:p>
            <w:pPr>
              <w:pStyle w:val="TableContents"/>
              <w:bidi w:val="0"/>
              <w:spacing w:before="0" w:after="283"/>
              <w:jc w:val="left"/>
              <w:rPr>
                <w:sz w:val="20"/>
              </w:rPr>
            </w:pPr>
            <w:r>
              <w:rPr>
                <w:sz w:val="20"/>
              </w:rPr>
              <w:t>Includes 18,767 common units held individually by Mr. Lassiter.</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350"/>
        <w:gridCol w:w="593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5930" w:type="dxa"/>
            <w:tcBorders/>
            <w:vAlign w:val="center"/>
          </w:tcPr>
          <w:p>
            <w:pPr>
              <w:pStyle w:val="TableContents"/>
              <w:bidi w:val="0"/>
              <w:spacing w:before="0" w:after="283"/>
              <w:jc w:val="left"/>
              <w:rPr>
                <w:sz w:val="20"/>
              </w:rPr>
            </w:pPr>
            <w:r>
              <w:rPr>
                <w:sz w:val="20"/>
              </w:rPr>
              <w:t>Includes 900 common units held by Mr. Sturrock jointly with his spouse.</w:t>
            </w:r>
          </w:p>
        </w:tc>
      </w:tr>
    </w:tbl>
    <w:p>
      <w:pPr>
        <w:pStyle w:val="TextBody"/>
        <w:bidi w:val="0"/>
        <w:spacing w:before="0" w:after="0"/>
        <w:ind w:left="0" w:right="0" w:hanging="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350"/>
        <w:gridCol w:w="5735"/>
      </w:tblGrid>
      <w:tr>
        <w:trPr/>
        <w:tc>
          <w:tcPr>
            <w:tcW w:w="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c>
          <w:tcPr>
            <w:tcW w:w="5735" w:type="dxa"/>
            <w:tcBorders/>
            <w:vAlign w:val="center"/>
          </w:tcPr>
          <w:p>
            <w:pPr>
              <w:pStyle w:val="TableContents"/>
              <w:bidi w:val="0"/>
              <w:spacing w:before="0" w:after="283"/>
              <w:jc w:val="left"/>
              <w:rPr>
                <w:sz w:val="20"/>
              </w:rPr>
            </w:pPr>
            <w:r>
              <w:rPr>
                <w:sz w:val="20"/>
              </w:rPr>
              <w:t>Includes 9,000 common units held by Mr. Box jointly with his spouse.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9894" w:type="dxa"/>
            <w:tcBorders/>
            <w:vAlign w:val="center"/>
          </w:tcPr>
          <w:p>
            <w:pPr>
              <w:pStyle w:val="TableContents"/>
              <w:bidi w:val="0"/>
              <w:spacing w:before="0" w:after="283"/>
              <w:jc w:val="left"/>
              <w:rPr>
                <w:sz w:val="20"/>
              </w:rPr>
            </w:pPr>
            <w:r>
              <w:rPr>
                <w:sz w:val="20"/>
              </w:rPr>
              <w:t>Includes 15,192 common units held by Mr. Ehrman in his individual name, IRA or Keogh Plan and 138,723 common units held by Quiscalus Ventures, LLC in which Mr. Ehrman is the sole member. Excludes 32,346 notional units held by Mr. Ehrman that are not scheduled to vest within 60 days after the table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9887" w:type="dxa"/>
            <w:tcBorders/>
            <w:vAlign w:val="center"/>
          </w:tcPr>
          <w:p>
            <w:pPr>
              <w:pStyle w:val="TableContents"/>
              <w:bidi w:val="0"/>
              <w:spacing w:before="0" w:after="283"/>
              <w:jc w:val="left"/>
              <w:rPr>
                <w:sz w:val="20"/>
              </w:rPr>
            </w:pPr>
            <w:r>
              <w:rPr>
                <w:sz w:val="20"/>
              </w:rPr>
              <w:t>Includes 98,208 common units held by Ms. Moriyama in her individual name, jointly with her spouse, IRA or Keogh Plan. Excludes 28,383 notional units held by Ms. Moriyama that are not scheduled to vest within 60 days after the table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c>
          <w:tcPr>
            <w:tcW w:w="9893" w:type="dxa"/>
            <w:tcBorders/>
            <w:vAlign w:val="center"/>
          </w:tcPr>
          <w:p>
            <w:pPr>
              <w:pStyle w:val="TableContents"/>
              <w:bidi w:val="0"/>
              <w:spacing w:before="0" w:after="283"/>
              <w:jc w:val="left"/>
              <w:rPr>
                <w:sz w:val="20"/>
              </w:rPr>
            </w:pPr>
            <w:r>
              <w:rPr>
                <w:sz w:val="20"/>
              </w:rPr>
              <w:t>Pursuant to Instruction 5 to Item 403 of Regulation S-K, the 5,531 common units owned by SAM Partners Management, Inc. and the 53,224 common units owned by Smith Allen Oil &amp; Gas, LLP included in the beneficial ownership of both Mr. McManemin and Mr. Allen are only included once in this total.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DELINQUENT SECTION 16(a) REPORTS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16(a) of the Exchange Act requires our managers, officers and persons who own more than 10% of our common units to file with the Securities and Exchange Commission initial reports of ownership and reports of changes in ownership of common units. Managers, officers and 10% holders of the common units are required by Securities and Exchange Commission rules and regulations to furnish us with copies of all Section 16(a) forms they file. To our knowledge, based solely on a review of the copies of such reports furnished to us and representations that no other reports were required, all Section 16(a) filing requirements were met with the exceptions of one late Form 3 reporting the initial holdings of Dorchester Minerals, L.P. common units by Ms. Wariner.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PARTNERSHIP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and affairs are managed by and under the direction of the Board of Managers, which exercises all of our corporate powers and establishes broad corporate policies. The leadership of the Board of Managers is vested in the Chairman. Following the resignation as Chairman of Mr. McManemin in October 2025, the Board of Managers appointed Mr. Vaughn to be the Interim Chairman of the Board of Managers. In April 2026, the Board of Managers appointed Mr. Vaughn as the Chairman. Mr. Ehrman has served as the Chief Executive Officer of the Partnership since October 1, 2022. The Board of Managers believes that the separation of the Chairman and the Chief Executive Officer functions in this structure is appropriate for oversight purposes on behalf of its investors, because it clarifies the individual roles of the Chairman and Chief Executive Officer and enhances accountability. In addition, Mr. Vaughn has unique experience to lead the Board of Managers, given his extensive history of managing oil and gas properties and having served on the Board of Managers of the Partnership since its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consists of (i) five managers appointed by the five members of the general partner of our general partner, (ii) three additional managers nominated by these members and elected annually by our limited partners and (iii) one manager appointed by Carrollton Mineral Partners, LP,  (the “Contributor Appointed Manager”), pursuant to that Contribution and Exchange Agreement dated September 12, 2024 between Dorchester Minerals, L.P., West Texas Minerals LLC, Carrollton Minerals Partners, LP, Carrollton Minerals Partners Fund II, LP, Carrollton Minerals Partners III, LP, Carrollton Mineral Partners III-B, LP, Carrollton Minerals Partners IV, LP, CMP Permian, LP, CMP Glasscock, LP and Carrollton Royalty, LP (collectively, the “Contributors”). The elected managers, as a group, must meet the requirements of our Amended and Restated Agreement of Limited Partnership, as amended (the “Partnership Agreement”) and the Securities and Exchange Commission and NASDAQ Global Select Market (“NASDAQ”) rules for members of an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Messrs. Allen, Nance and Vaughn and Mses. Carver and Rochelle are the five managers appointed by the members of the general partner of our general partner and will hold office until the earlier of their death, resignation or removal from office. In the event of any vacancy on the Board of Managers left by an appointed manager, the member who holds the right to appoint the appointed manager will designate the replacement appointed manager, unless the member who otherwise holds the right to appoint the replacement appointed manager has lost their appointment right. Mr. F. Damon Box is the Contributor Appointed Manager and will hold such position until a successor has been designated by the Contributors or upon such time that the Contributors are unable to certify to the Partnership that the Contributors, collectively, hold an aggregate of at least 1,000,000 common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Messrs. Lassiter and Russell and Ms. Wariner are the three managers who were elected at our 2025 Annual Meeting. In light of Mr. Russell’s death in October 2025, Mr. Sturrock was appointed to fulfill Mr. Russell’s term in February 2026. Messrs. Lassiter and Sturrock and Ms. Wariner are the three managers nominated by the members of the general partner of our general partner to stand for election to the Board of Managers at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opinion of the Board of Managers, as “independent” currently is defined by the NASDAQ rules, and assuming the three nominated managers are elected by the limited partners at the 2026 Annual Meeting, a majority of the Board of Managers are and will be independent of management and free of any relationship that would interfere with their exercise of independent judgment. The Board of Managers has affirmatively determined that Messrs. Allen, Box, Lassiter, Nance, Sturrock and Vaughn and Mses. Carver, Rochelle, and Wariner are independent. In addition to the NASDAQ “independence” rules, the Board of Managers has also affirmatively determined that Messrs. Lassiter and Sturrock and Ms. Wariner also satisfy the definition of “independent” prescribed by the Securities and Exchange Commission for members of an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held 9 meetings and acted by unanimous written consent 6 times in fiscal 2025. Each Manager attended at least 75% of the total number of meetings of the Board of Managers and of the committees of the Board of Managers on which such Manager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strongly recommends each manager attend the 2026 Annual Meeting of our limited partners. Seven of the nine managers then serving attended the 2025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Board of Managers has an Advisory Committee that consists of Messrs. Lassiter and Sturrock and Ms. Wariner. The Advisory Committee functions as the Audit Committee. In addition, the Advisory Committee addresses all matters concerning conflicts of interest and the application of the Business Opportunities Agreement. The Advisory Committee held 4 meetings and did not act by unanimous written consent or hold any special meetings during fiscal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does not have a nominating committee or committee performing similar functions and has not adopted a resolution addressing the nominations process nor does it consider diversity with respect to manager nominees or have a diversity policy. This arrangement is appropriate as the nominations for all managers are made by the members of the general partner of our general partner. Messrs. Allen, Nance and Vaughn and Mses. Carver and Rochelle all participate in the consideration of nominees for the Board of Managers in their capacities as officers and/or managers of the members of the general partner of our general partner. The Board of Managers has not adopted a resolution addressing the nominations process as the general partner of our general partner is legally required to provide its members with the ability to nominate managers. Following Mr. Russell’s death on October 30, 2025, Mr. Sturrock was appointed to the Advisory Committee pursuant to the SAM Partners, Ltd. and Smith Allen Oil &amp; Gas, LLP Appointment Right under Section 8.2 of the Second Amended and Restated Limited Liability Company Agreement of Dorchester Minerals Management GP LLC (the “A&amp;R LLCA”). In connection with Mr. McManemin’s retirement from the Board of Managers, effective December 31, 2025, Smith Allen Oil &amp; Gas, LLP appointed Mr. Nance as its appointed manager of the Board, effective January 1, 2026, pursuant to Section 8.2 of the A&amp;R LLCA. Mr. Nance has not been named to any committee of the Board.</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has adopted an insider trading policy governing the purchase, sale and/or other dispositions of our securities by our managers, the officers and employees of Dorchester Minerals Operating LP, or the Partnership itself that the Board of Managers believes is reasonably designed to promote compliance with insider trading laws, rules and regulations, and NASDAQ listing standards. A copy of the policy is filed as Exhibit 19.1 to the Partnership’s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does provide a process for Unitholders to send communications to it. Unitholders may contact each member of the Board of Managers in writing at their respective business addresses. See “Security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partnership adopted our Code of Business Conduct and Ethics on July 17, 2003. The Board of Managers reviewed the Code of Business Conduct and Ethics in 2026 for adequacy and was satisfied therewith. The Code of Business Conduct and Ethics applies to all officers, managers, advisors, consultants and employees of our partnership and its affiliates. A copy of our Code of Business Conduct and Ethics is available on our website at www.dmlp.net/investor-relations. Any amendments to, or waivers under, the Code of Business Conduct and Ethics that are required to be disclosed by SEC rules will be disclosed within four business days of such amendment or waiver on our website at www.dmlp.net/investor-relations.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mallCaps/>
          <w:sz w:val="20"/>
        </w:rPr>
      </w:pPr>
      <w:r>
        <w:rPr>
          <w:rFonts w:ascii="Times New Roman" w:hAnsi="Times New Roman"/>
          <w:smallCaps/>
          <w:sz w:val="20"/>
        </w:rPr>
        <w:t>ADVISORY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their service as the Audit Committee, the members of the Advisory Committee assist the Board of Managers in fulfilling its oversight responsibilities relating to our consolidated financial statements and other financial information; compliance with applicable laws, regulations and our code of conduct; independence and qualifications of the independent auditor; management’s establishment of and adherence to a system of internal accounting and disclosure controls; and the performance of the internal audit function and independent auditors. The Advisory Committee is empowered to investigate any matter brought to its attention with full access to all our books, records, facilities and personnel and may retain outside counsel, auditors or other experts to assist it. Our Board of Managers has adopted a written charter for the Advisory Committee in its service as the Audit Committee specifying its purpose of overseeing the accounting and financial reporting processes, a copy of which can be obtained free of charge on our website at www.dmlp.net. The charter is reviewed periodically to ensure that it meets all applicable legal and NASDAQ listing requirements. As interpreted in the Board of Managers’ business judgment, assuming the three nominated managers are elected by the limited partners at the 2026 Annual Meeting, each member of the Audit Committee is financially literate and possess accounting or related financial management expertise and are “audit committee financial experts” as described in Item 407(d)(5) of Regulation S-K. None of the members of the Advisory Committee has participated in the preparation of our consolidated financial statements in the previous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administer our risk oversight function through our Advisory Committee as well as through our Board of Managers as a whole. Our Advisory Committee is empowered to monitor the integrity of our financial reporting processes and systems of internal controls and provide an avenue of communication among our independent auditors, management, employees overseeing our internal audit functions and our Board of Managers. Additionally, reports are provided during our board meetings by the individuals who oversee risk management in liquidity, environmental, safety, litigation, cybersecurity and other operational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October 2025, the Board of Managers established a Compensation Committee (the “Compensation Committee”) and appointed F. Damon Box, Allen D. Lassiter and Sarah N. Wariner to serve as members. The Compensation Committee adopted its Compensation Committee charter on October 8, 2025 (the “Compensation Committee Charter”). Prior to the establishment of the Compensation Committee, the Advisory Committee assisted the Board of Managers for purposes of approving the compensation of any employee who is also a member of the Board of Managers. The Compensation Committee now assists the Board of Managers in its oversight responsibilities relating to any compensation or benefits paid by the Partnership, its affiliates or subsidiaries, to any executive officer of any such company. The Compensation Committee makes recommendations to the Board of Managers in connection with all matters relating to compensation of executive officers. All determinations concerning executive compensation for such officers are recommended by the Compensation Committee. The Board of Managers reserves the right to exercise its power to review and directly approve compensation decisions. In 2025, the Board of Managers determined the amount and form of compensation of our executive officers. A copy of the Compensation Committee Charter is available on our website at www.dmlp.net/investor-relations.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are no family relationships between any of our directors, director nominees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COMPENSATION DISCUSSION AND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gives a background of compensation paid by Dorchester Minerals Operating LP, the operating partnership controlled by our general partner, and addresses the operating partnership’s compensation-setting process and philosophy, the components of compensation to our named executive officers (sometimes referred to in this Proxy Statement as “NEOs”) and the Board of Managers decisions for compensation earned by our named executive officers in 2025. Our named executive officers in 2025 were William Casey McManemin, Bradley J. Ehrman and Leslie A. Moriyama.</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Background</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Partnership does not have any employees, nor does it pay any of the operating partnership’s employees, including our named executive officers, for their services, however, our named executive officers generally serve in executive officer capacities for the operating partnership and are compensated by the operating partnership for their service in those capacities. Such compensation is borne indirectly by us only to the extent of our obligation to reimburse the operating partnership for certain general and administrative expenses, subject to the limitation on reimbursement. It is possible that our partnership would not be obligated to reimburse the operating partnership for its compensation expenses including the salaries of our named executive officers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of our appointed Managers is associated with one or more of the members of our general partner. The owners of our general partner may receive a portion of the cash flow generated by our activities and those of the operating partnership. Our appointed Managers’ participation in our partnership’s results are limited to distributions from the owners of the general partner and their individual holdings of publicly traded units in our partnership,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Mr. McManemin, who previously served as our Chairman and as Senior Advisor to the Partnership, resigned as Chairman in October 2025 and retired from the Board of Managers and as Senior Advisor effective December 31, 2025. Mr. McManemin previously served as our Chief Executive Officer until his resignation from such position, effective as of October 1, 2022. In recognition of his distinguished service, the Board designated Mr. McManemin as Chairman Emeritus.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Compensation Setting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limited exception, our Chief Executive Officer has broad discretion to establish the composition and amount of compensation for the employees of the operating partnership. Employee compensation includes salary, insurance benefits (including medical, dental, vision, life, and disability coverage), a SEP-IRA program, and discretionary merit bonuses awarded in the form of cash or DMLP units. The Chief Executive Officer consults with senior management (including the Chief Financial Officer) and department managers no less frequently than annually to assess employee performance, attitude and collaboration when determining compensation. Compensation levels are to some extent impacted by the formulaic limitations on general and administrative expense reimbursement set forth in our partnership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Chief Executive Officer annually reports to the Board of Managers on compensation matters including proposed salary and benefits. Prior to October 2025, the Advisory Committee was required to approve compensation for any employee who is also a member of the Board of Managers. Following the establishment of the Compensation Committee in October 2025, the Compensation Committee assumed this responsibility. The compensation of Mr. Ehrman and Ms. Moriyama is determined by the Board of Managers. Effective January 1, 2026, Mr. Ehrman’s base salary was increased to $465,000 and Ms. Moriyama’s base salary was increased to $430,000.</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Compensation Philosophy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believes in rewarding our named executive officers based on individual performance as well as aligning the interests of our named executive officers with those of our common Unitholders. The Board of Managers believes our compensation package (including salaries, insurance benefits, SEP-IRA program and discretionary merit bonuses and equity awards) of our employees, including our named executive officers, is appropriate and sufficient to attract, retain, incentivize and properly reward our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Elements and Objectives of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Salary and Discretionary Cash Bonuses</w:t>
      </w:r>
      <w:r>
        <w:rPr>
          <w:rFonts w:ascii="Times New Roman" w:hAnsi="Times New Roman"/>
          <w:caps w:val="false"/>
          <w:smallCaps w:val="false"/>
          <w:sz w:val="20"/>
        </w:rPr>
        <w:t>. Our Chief Executive Officer determines salaries and discretionary cash bonuses for employees other than the named executive officers, in consultation with senior management including the Chief Financial Officer. Salaries and cash bonuses are paid by the operating partnership, which does not have a formulaic salary schedule or bonus plan. The Chief Executive Officer has broad discretion to consider a wide range of factors in determining compensation for employees other than the named executive officers, including but not limited to performance, loyalty, collaboration and attitude. The Board of Managers does not benchmark compensation for named executive officers, but considers the named executive officers’ compensation to be appropriate. The objective of the operating partnership’s salary determinations is to attract and retain our named executive officers with the goal of retaining long-term Unitholder value, and the objective of discretionary cash bonuses is for the operating partnership to reward the efforts of our named executive officers on the basis of their annual performance.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Equity Awards</w:t>
      </w:r>
      <w:r>
        <w:rPr>
          <w:rFonts w:ascii="Times New Roman" w:hAnsi="Times New Roman"/>
          <w:caps w:val="false"/>
          <w:smallCaps w:val="false"/>
          <w:sz w:val="20"/>
        </w:rPr>
        <w:t>. Our named executive officers are eligible to participate in the Dorchester Minerals Management LP Equity Incentive Program, as amended and restated as of October 4, 2023 (the “Equity Incentive Program”) and are eligible to receive awards granted by Dorchester Minerals Management GP LLC, the administrator of the Equity Incentive Program, pursuant to the Equity Incentive Program. For 2025, in addition to grants of common units consistent with past practice, in an effort to ensure retention of our named executive officers and to better align our long-term incentive compensation program with those of our peers, the Board of Managers granted to Mr. Ehrman and Ms. Moriyama notional units that vest in three substantially equal annual installments based on Mr. Ehrman’s and Ms. Moriyama’s continued employment. In determining the number of common units and notional units to be awarded to our named executive officers, the Board of Managers took into account the named executive officer’s position, scope of responsibility and value creation in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Determination of 2025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Mr. Ehrman</w:t>
      </w:r>
      <w:r>
        <w:rPr>
          <w:rFonts w:ascii="Times New Roman" w:hAnsi="Times New Roman"/>
          <w:caps w:val="false"/>
          <w:smallCaps w:val="false"/>
          <w:sz w:val="20"/>
        </w:rPr>
        <w:t>. As our Chief Executive Officer, Mr. Ehrman’s base salary in 2025 was $445,000 per year, based on his level of education and extensive history of managing the properties held by our partnership. Mr. Ehrman received a cash bonus of $340,000, as well as an award of 18,000 common units and an award of 18,000 notional units, in each case, under the Equity Incentive Program during 2025. Mr. Ehrman’s cash bonus and common unit and notional unit awards were determined by the Board of Managers based on a subjective assessment of Mr. Ehrman’s business management experience and leadership, among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Ms. Moriyama</w:t>
      </w:r>
      <w:r>
        <w:rPr>
          <w:rFonts w:ascii="Times New Roman" w:hAnsi="Times New Roman"/>
          <w:caps w:val="false"/>
          <w:smallCaps w:val="false"/>
          <w:sz w:val="20"/>
        </w:rPr>
        <w:t>. As our Chief Financial Officer, Ms. Moriyama’s base salary in 2025 was $410,000 per year, based on her business and financial experience in the oil and gas industry. Ms. Moriyama received a cash bonus of $350,000, as well as an award of 16,000 common units and an award of 16,000 notional units, in each case, under the Equity Incentive Program during 2025. Ms. Moriyama’s cash bonus and common unit and notional unit awards were determined by the Board of Managers based on a subjective assessment of Ms. Moriyama’s business impact, including value creation, leadership and teamwork, among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u w:val="single"/>
        </w:rPr>
        <w:t>Mr. McManemin</w:t>
      </w:r>
      <w:r>
        <w:rPr>
          <w:rFonts w:ascii="Times New Roman" w:hAnsi="Times New Roman"/>
          <w:caps w:val="false"/>
          <w:smallCaps w:val="false"/>
          <w:sz w:val="20"/>
        </w:rPr>
        <w:t>. Prior to his resignation as Chairman and as Senior Advisor to the Partnership, Mr. McManemin’s base salary in 2025 was $96,000 per year, in recognition of the service he provided in managing the day-to-day affairs necessary to our partnership and the operating partnership. Mr. McManemin did not receive a cash bonus or any equity awards during 2025.</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Response to Say-on-Pay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most recent Unitholder advisory vote on executive compensation occurred at our 2023 Annual Meeting. At the 2023 Annual Meeting, Unitholders overwhelmingly approved the compensation of our named executive officers, with over 92% of the common units present at the meeting voting in favor of such compensation. The Board of Managers considered this overwhelming support of our Unitholders in the course of deciding executive compensation policies following the 2023 Annual Meeting by granting equity-based compensation to our NEOs in the form of notional units. The Board of Managers believes that such grants provide market-competitive compensation that will enable us to motivate and retain our NEOs. At the 2023 Annual Meeting, after viewing and considering voting results, the Board of Managers determined that we would hold a “Say-on-Pay” Unitholder advisory vote every third year. Therefore, a “Say-on-Pay” Unitholder advisory vote will be held at the 2026 Annual Meeting, as set forth in Proposal No. 3 of this Proxy Statement. The Board of Managers intends to hold a non-binding advisory Unitholder vote regarding the frequency of submission to Unitholders of a “Say-on-Pay” advisory vote at the 2029 Annual Meeting.</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SUMMARY COMPENSATION TABLE</w:t>
      </w:r>
    </w:p>
    <w:p>
      <w:pPr>
        <w:pStyle w:val="TextBody"/>
        <w:bidi w:val="0"/>
        <w:spacing w:before="0" w:after="0"/>
        <w:ind w:left="160" w:right="0" w:hanging="0"/>
        <w:jc w:val="left"/>
        <w:rPr>
          <w:caps w:val="false"/>
          <w:smallCaps w:val="false"/>
        </w:rPr>
      </w:pPr>
      <w:r>
        <w:rPr>
          <w:caps w:val="false"/>
          <w:smallCaps w:val="false"/>
        </w:rPr>
        <w:t> </w:t>
      </w:r>
    </w:p>
    <w:tbl>
      <w:tblPr>
        <w:tblW w:w="10156" w:type="dxa"/>
        <w:jc w:val="left"/>
        <w:tblInd w:w="0" w:type="dxa"/>
        <w:tblLayout w:type="fixed"/>
        <w:tblCellMar>
          <w:top w:w="0" w:type="dxa"/>
          <w:left w:w="0" w:type="dxa"/>
          <w:bottom w:w="28" w:type="dxa"/>
          <w:right w:w="0" w:type="dxa"/>
        </w:tblCellMar>
      </w:tblPr>
      <w:tblGrid>
        <w:gridCol w:w="2330"/>
        <w:gridCol w:w="60"/>
        <w:gridCol w:w="440"/>
        <w:gridCol w:w="60"/>
        <w:gridCol w:w="63"/>
        <w:gridCol w:w="736"/>
        <w:gridCol w:w="60"/>
        <w:gridCol w:w="60"/>
        <w:gridCol w:w="64"/>
        <w:gridCol w:w="750"/>
        <w:gridCol w:w="60"/>
        <w:gridCol w:w="60"/>
        <w:gridCol w:w="132"/>
        <w:gridCol w:w="1537"/>
        <w:gridCol w:w="60"/>
        <w:gridCol w:w="60"/>
        <w:gridCol w:w="233"/>
        <w:gridCol w:w="2306"/>
        <w:gridCol w:w="60"/>
        <w:gridCol w:w="60"/>
        <w:gridCol w:w="60"/>
        <w:gridCol w:w="845"/>
        <w:gridCol w:w="60"/>
      </w:tblGrid>
      <w:tr>
        <w:trPr/>
        <w:tc>
          <w:tcPr>
            <w:tcW w:w="233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and Principal Position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4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Salary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Bonus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 Awards ($)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3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Compensation ($)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Casey McManemin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23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115,200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Former Chairman (3)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230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115,200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23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115,200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5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2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Bradley J. Ehrman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3" w:type="dxa"/>
            <w:tcBorders/>
            <w:shd w:fill="CCEEFF" w:val="clear"/>
            <w:tcMar>
              <w:bottom w:w="0" w:type="dxa"/>
            </w:tcMar>
            <w:vAlign w:val="center"/>
          </w:tcPr>
          <w:p>
            <w:pPr>
              <w:pStyle w:val="TableContents"/>
              <w:bidi w:val="0"/>
              <w:spacing w:before="0" w:after="283"/>
              <w:ind w:left="0" w:right="0" w:hanging="0"/>
              <w:jc w:val="left"/>
              <w:rPr/>
            </w:pPr>
            <w:r>
              <w:rPr/>
              <w:t> </w:t>
            </w:r>
          </w:p>
        </w:tc>
        <w:tc>
          <w:tcPr>
            <w:tcW w:w="7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5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3" w:type="dxa"/>
            <w:tcBorders/>
            <w:shd w:fill="CCEEFF" w:val="clear"/>
            <w:tcMar>
              <w:bottom w:w="0" w:type="dxa"/>
            </w:tcMar>
            <w:vAlign w:val="center"/>
          </w:tcPr>
          <w:p>
            <w:pPr>
              <w:pStyle w:val="TableContents"/>
              <w:bidi w:val="0"/>
              <w:spacing w:before="0" w:after="283"/>
              <w:ind w:left="0" w:right="0" w:hanging="0"/>
              <w:jc w:val="left"/>
              <w:rPr/>
            </w:pPr>
            <w:r>
              <w:rPr/>
              <w:t> </w:t>
            </w:r>
          </w:p>
        </w:tc>
        <w:tc>
          <w:tcPr>
            <w:tcW w:w="23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1,633,680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3" w:type="dxa"/>
            <w:tcBorders/>
            <w:shd w:fill="FFFFFF" w:val="clear"/>
            <w:tcMar>
              <w:bottom w:w="0" w:type="dxa"/>
            </w:tcMar>
            <w:vAlign w:val="center"/>
          </w:tcPr>
          <w:p>
            <w:pPr>
              <w:pStyle w:val="TableContents"/>
              <w:bidi w:val="0"/>
              <w:spacing w:before="0" w:after="283"/>
              <w:ind w:left="0" w:right="0" w:hanging="0"/>
              <w:jc w:val="left"/>
              <w:rPr/>
            </w:pPr>
            <w:r>
              <w:rPr/>
              <w:t> </w:t>
            </w:r>
          </w:p>
        </w:tc>
        <w:tc>
          <w:tcPr>
            <w:tcW w:w="7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4" w:type="dxa"/>
            <w:tcBorders/>
            <w:shd w:fill="FFFFFF" w:val="clear"/>
            <w:tcMar>
              <w:bottom w:w="0" w:type="dxa"/>
            </w:tcMar>
            <w:vAlign w:val="center"/>
          </w:tcPr>
          <w:p>
            <w:pPr>
              <w:pStyle w:val="TableContents"/>
              <w:bidi w:val="0"/>
              <w:spacing w:before="0" w:after="283"/>
              <w:ind w:left="0" w:right="0" w:hanging="0"/>
              <w:jc w:val="left"/>
              <w:rPr/>
            </w:pPr>
            <w:r>
              <w:rPr/>
              <w:t> </w:t>
            </w:r>
          </w:p>
        </w:tc>
        <w:tc>
          <w:tcPr>
            <w:tcW w:w="7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15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993,072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pPr>
            <w:r>
              <w:rPr/>
              <w:t> </w:t>
            </w:r>
          </w:p>
        </w:tc>
        <w:tc>
          <w:tcPr>
            <w:tcW w:w="23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1,759,072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5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880,010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 w:type="dxa"/>
            <w:tcBorders/>
            <w:shd w:fill="CCEEFF" w:val="clear"/>
            <w:tcMar>
              <w:bottom w:w="0" w:type="dxa"/>
            </w:tcMar>
            <w:vAlign w:val="center"/>
          </w:tcPr>
          <w:p>
            <w:pPr>
              <w:pStyle w:val="TableContents"/>
              <w:bidi w:val="0"/>
              <w:spacing w:before="0" w:after="283"/>
              <w:jc w:val="left"/>
              <w:rPr/>
            </w:pPr>
            <w:r>
              <w:rPr/>
              <w:t> </w:t>
            </w:r>
          </w:p>
        </w:tc>
        <w:tc>
          <w:tcPr>
            <w:tcW w:w="230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1,591,010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 w:type="dxa"/>
            <w:tcBorders/>
            <w:shd w:fill="FFFFFF" w:val="clear"/>
            <w:tcMar>
              <w:bottom w:w="0" w:type="dxa"/>
            </w:tcMar>
            <w:vAlign w:val="center"/>
          </w:tcPr>
          <w:p>
            <w:pPr>
              <w:pStyle w:val="TableContents"/>
              <w:bidi w:val="0"/>
              <w:spacing w:before="0" w:after="283"/>
              <w:jc w:val="left"/>
              <w:rPr/>
            </w:pPr>
            <w:r>
              <w:rPr/>
              <w:t> </w:t>
            </w:r>
          </w:p>
        </w:tc>
        <w:tc>
          <w:tcPr>
            <w:tcW w:w="15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 w:type="dxa"/>
            <w:tcBorders/>
            <w:shd w:fill="FFFFFF" w:val="clear"/>
            <w:tcMar>
              <w:bottom w:w="0" w:type="dxa"/>
            </w:tcMar>
            <w:vAlign w:val="center"/>
          </w:tcPr>
          <w:p>
            <w:pPr>
              <w:pStyle w:val="TableContents"/>
              <w:bidi w:val="0"/>
              <w:spacing w:before="0" w:after="283"/>
              <w:jc w:val="left"/>
              <w:rPr/>
            </w:pPr>
            <w:r>
              <w:rPr/>
              <w:t> </w:t>
            </w:r>
          </w:p>
        </w:tc>
        <w:tc>
          <w:tcPr>
            <w:tcW w:w="23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Leslie A. Moriyama</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3" w:type="dxa"/>
            <w:tcBorders/>
            <w:shd w:fill="CCEEFF" w:val="clear"/>
            <w:tcMar>
              <w:bottom w:w="0" w:type="dxa"/>
            </w:tcMar>
            <w:vAlign w:val="center"/>
          </w:tcPr>
          <w:p>
            <w:pPr>
              <w:pStyle w:val="TableContents"/>
              <w:bidi w:val="0"/>
              <w:spacing w:before="0" w:after="283"/>
              <w:ind w:left="0" w:right="0" w:hanging="0"/>
              <w:jc w:val="left"/>
              <w:rPr/>
            </w:pPr>
            <w:r>
              <w:rPr/>
              <w:t> </w:t>
            </w:r>
          </w:p>
        </w:tc>
        <w:tc>
          <w:tcPr>
            <w:tcW w:w="7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5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692,160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3" w:type="dxa"/>
            <w:tcBorders/>
            <w:shd w:fill="CCEEFF" w:val="clear"/>
            <w:tcMar>
              <w:bottom w:w="0" w:type="dxa"/>
            </w:tcMar>
            <w:vAlign w:val="center"/>
          </w:tcPr>
          <w:p>
            <w:pPr>
              <w:pStyle w:val="TableContents"/>
              <w:bidi w:val="0"/>
              <w:spacing w:before="0" w:after="283"/>
              <w:ind w:left="0" w:right="0" w:hanging="0"/>
              <w:jc w:val="left"/>
              <w:rPr/>
            </w:pPr>
            <w:r>
              <w:rPr/>
              <w:t> </w:t>
            </w:r>
          </w:p>
        </w:tc>
        <w:tc>
          <w:tcPr>
            <w:tcW w:w="23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1,522,160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3" w:type="dxa"/>
            <w:tcBorders/>
            <w:shd w:fill="FFFFFF" w:val="clear"/>
            <w:tcMar>
              <w:bottom w:w="0" w:type="dxa"/>
            </w:tcMar>
            <w:vAlign w:val="center"/>
          </w:tcPr>
          <w:p>
            <w:pPr>
              <w:pStyle w:val="TableContents"/>
              <w:bidi w:val="0"/>
              <w:spacing w:before="0" w:after="283"/>
              <w:ind w:left="0" w:right="0" w:hanging="0"/>
              <w:jc w:val="left"/>
              <w:rPr/>
            </w:pPr>
            <w:r>
              <w:rPr/>
              <w:t> </w:t>
            </w:r>
          </w:p>
        </w:tc>
        <w:tc>
          <w:tcPr>
            <w:tcW w:w="73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4" w:type="dxa"/>
            <w:tcBorders/>
            <w:shd w:fill="FFFFFF" w:val="clear"/>
            <w:tcMar>
              <w:bottom w:w="0" w:type="dxa"/>
            </w:tcMar>
            <w:vAlign w:val="center"/>
          </w:tcPr>
          <w:p>
            <w:pPr>
              <w:pStyle w:val="TableContents"/>
              <w:bidi w:val="0"/>
              <w:spacing w:before="0" w:after="283"/>
              <w:ind w:left="0" w:right="0" w:hanging="0"/>
              <w:jc w:val="left"/>
              <w:rPr/>
            </w:pPr>
            <w:r>
              <w:rPr/>
              <w:t> </w:t>
            </w:r>
          </w:p>
        </w:tc>
        <w:tc>
          <w:tcPr>
            <w:tcW w:w="7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2" w:type="dxa"/>
            <w:tcBorders/>
            <w:shd w:fill="FFFFFF" w:val="clear"/>
            <w:tcMar>
              <w:bottom w:w="0" w:type="dxa"/>
            </w:tcMar>
            <w:vAlign w:val="center"/>
          </w:tcPr>
          <w:p>
            <w:pPr>
              <w:pStyle w:val="TableContents"/>
              <w:bidi w:val="0"/>
              <w:spacing w:before="0" w:after="283"/>
              <w:ind w:left="0" w:right="0" w:hanging="0"/>
              <w:jc w:val="left"/>
              <w:rPr/>
            </w:pPr>
            <w:r>
              <w:rPr/>
              <w:t> </w:t>
            </w:r>
          </w:p>
        </w:tc>
        <w:tc>
          <w:tcPr>
            <w:tcW w:w="15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829,282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3" w:type="dxa"/>
            <w:tcBorders/>
            <w:shd w:fill="FFFFFF" w:val="clear"/>
            <w:tcMar>
              <w:bottom w:w="0" w:type="dxa"/>
            </w:tcMar>
            <w:vAlign w:val="center"/>
          </w:tcPr>
          <w:p>
            <w:pPr>
              <w:pStyle w:val="TableContents"/>
              <w:bidi w:val="0"/>
              <w:spacing w:before="0" w:after="283"/>
              <w:ind w:left="0" w:right="0" w:hanging="0"/>
              <w:jc w:val="left"/>
              <w:rPr/>
            </w:pPr>
            <w:r>
              <w:rPr/>
              <w:t> </w:t>
            </w:r>
          </w:p>
        </w:tc>
        <w:tc>
          <w:tcPr>
            <w:tcW w:w="23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1,618,282</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3" w:type="dxa"/>
            <w:tcBorders/>
            <w:shd w:fill="CCEEFF" w:val="clear"/>
            <w:tcMar>
              <w:bottom w:w="0" w:type="dxa"/>
            </w:tcMar>
            <w:vAlign w:val="center"/>
          </w:tcPr>
          <w:p>
            <w:pPr>
              <w:pStyle w:val="TableContents"/>
              <w:bidi w:val="0"/>
              <w:spacing w:before="0" w:after="283"/>
              <w:ind w:left="0" w:right="0" w:hanging="0"/>
              <w:jc w:val="left"/>
              <w:rPr/>
            </w:pPr>
            <w:r>
              <w:rPr/>
              <w:t> </w:t>
            </w:r>
          </w:p>
        </w:tc>
        <w:tc>
          <w:tcPr>
            <w:tcW w:w="73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4" w:type="dxa"/>
            <w:tcBorders/>
            <w:shd w:fill="CCEEFF" w:val="clear"/>
            <w:tcMar>
              <w:bottom w:w="0" w:type="dxa"/>
            </w:tcMar>
            <w:vAlign w:val="center"/>
          </w:tcPr>
          <w:p>
            <w:pPr>
              <w:pStyle w:val="TableContents"/>
              <w:bidi w:val="0"/>
              <w:spacing w:before="0" w:after="283"/>
              <w:ind w:left="0" w:right="0" w:hanging="0"/>
              <w:jc w:val="left"/>
              <w:rPr/>
            </w:pPr>
            <w:r>
              <w:rPr/>
              <w:t> </w:t>
            </w:r>
          </w:p>
        </w:tc>
        <w:tc>
          <w:tcPr>
            <w:tcW w:w="7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2" w:type="dxa"/>
            <w:tcBorders/>
            <w:shd w:fill="CCEEFF" w:val="clear"/>
            <w:tcMar>
              <w:bottom w:w="0" w:type="dxa"/>
            </w:tcMar>
            <w:vAlign w:val="center"/>
          </w:tcPr>
          <w:p>
            <w:pPr>
              <w:pStyle w:val="TableContents"/>
              <w:bidi w:val="0"/>
              <w:spacing w:before="0" w:after="283"/>
              <w:ind w:left="0" w:right="0" w:hanging="0"/>
              <w:jc w:val="left"/>
              <w:rPr/>
            </w:pPr>
            <w:r>
              <w:rPr/>
              <w:t> </w:t>
            </w:r>
          </w:p>
        </w:tc>
        <w:tc>
          <w:tcPr>
            <w:tcW w:w="15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3" w:type="dxa"/>
            <w:tcBorders/>
            <w:shd w:fill="CCEEFF" w:val="clear"/>
            <w:tcMar>
              <w:bottom w:w="0" w:type="dxa"/>
            </w:tcMar>
            <w:vAlign w:val="center"/>
          </w:tcPr>
          <w:p>
            <w:pPr>
              <w:pStyle w:val="TableContents"/>
              <w:bidi w:val="0"/>
              <w:spacing w:before="0" w:after="283"/>
              <w:ind w:left="0" w:right="0" w:hanging="0"/>
              <w:jc w:val="left"/>
              <w:rPr/>
            </w:pPr>
            <w:r>
              <w:rPr/>
              <w:t> </w:t>
            </w:r>
          </w:p>
        </w:tc>
        <w:tc>
          <w:tcPr>
            <w:tcW w:w="23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1,501,006</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7" w:type="dxa"/>
            <w:tcBorders/>
            <w:vAlign w:val="center"/>
          </w:tcPr>
          <w:p>
            <w:pPr>
              <w:pStyle w:val="TableContents"/>
              <w:bidi w:val="0"/>
              <w:spacing w:before="0" w:after="283"/>
              <w:jc w:val="left"/>
              <w:rPr>
                <w:sz w:val="20"/>
              </w:rPr>
            </w:pPr>
            <w:r>
              <w:rPr>
                <w:sz w:val="20"/>
              </w:rPr>
              <w:t>The amounts shown in this column represent the aggregate grant date fair value of awards of common units and notional units granted in the applicable year as computed in accordance with FASB ASC Topic 718.</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245"/>
        <w:gridCol w:w="747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475" w:type="dxa"/>
            <w:tcBorders/>
            <w:vAlign w:val="center"/>
          </w:tcPr>
          <w:p>
            <w:pPr>
              <w:pStyle w:val="TableContents"/>
              <w:bidi w:val="0"/>
              <w:spacing w:before="0" w:after="283"/>
              <w:jc w:val="left"/>
              <w:rPr>
                <w:sz w:val="20"/>
              </w:rPr>
            </w:pPr>
            <w:r>
              <w:rPr>
                <w:sz w:val="20"/>
              </w:rPr>
              <w:t>The amounts shown in this column represent employer contributions to the NEO’s SEP-IRA.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8" w:type="dxa"/>
            <w:tcBorders/>
            <w:vAlign w:val="center"/>
          </w:tcPr>
          <w:p>
            <w:pPr>
              <w:pStyle w:val="TableContents"/>
              <w:bidi w:val="0"/>
              <w:spacing w:before="0" w:after="283"/>
              <w:jc w:val="left"/>
              <w:rPr>
                <w:sz w:val="20"/>
              </w:rPr>
            </w:pPr>
            <w:r>
              <w:rPr>
                <w:sz w:val="20"/>
              </w:rPr>
              <w:t>Mr. McManemin served as Chief Executive Officer of the Partnership until his resignation from such position, effective October 1, 2022, and served as our Chairman and as Senior Advisor to the Partnership until his resignation from such position in October 2025. Mr. McManemin continued to serve as a member of the Board of Managers until his retirement from the Board, effective December 31, 2025, at which time the Board designated Mr. McManemin as Chairman Emeritus, an honorary designation without compensation or voting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GRANTS OF PLAN BASED AWARDS DURING 2025</w:t>
      </w:r>
    </w:p>
    <w:p>
      <w:pPr>
        <w:pStyle w:val="TextBody"/>
        <w:bidi w:val="0"/>
        <w:spacing w:before="0" w:after="0"/>
        <w:ind w:left="160" w:right="0" w:hanging="0"/>
        <w:jc w:val="left"/>
        <w:rPr>
          <w:caps w:val="false"/>
          <w:smallCaps w:val="false"/>
        </w:rPr>
      </w:pPr>
      <w:r>
        <w:rPr>
          <w:caps w:val="false"/>
          <w:smallCaps w:val="false"/>
        </w:rPr>
        <w:t> </w:t>
      </w:r>
    </w:p>
    <w:tbl>
      <w:tblPr>
        <w:tblW w:w="10130" w:type="dxa"/>
        <w:jc w:val="left"/>
        <w:tblInd w:w="0" w:type="dxa"/>
        <w:tblLayout w:type="fixed"/>
        <w:tblCellMar>
          <w:top w:w="0" w:type="dxa"/>
          <w:left w:w="0" w:type="dxa"/>
          <w:bottom w:w="28" w:type="dxa"/>
          <w:right w:w="0" w:type="dxa"/>
        </w:tblCellMar>
      </w:tblPr>
      <w:tblGrid>
        <w:gridCol w:w="2330"/>
        <w:gridCol w:w="60"/>
        <w:gridCol w:w="890"/>
        <w:gridCol w:w="60"/>
        <w:gridCol w:w="3365"/>
        <w:gridCol w:w="3425"/>
      </w:tblGrid>
      <w:tr>
        <w:trPr/>
        <w:tc>
          <w:tcPr>
            <w:tcW w:w="233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Stock Awards: Number of Units</w:t>
            </w:r>
          </w:p>
        </w:tc>
        <w:tc>
          <w:tcPr>
            <w:tcW w:w="342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Grant Date Fair Value of Stock Awards (3)</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Casey McManemin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90"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3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25" w:type="dxa"/>
            <w:tcBorders/>
            <w:shd w:fill="CCEEFF" w:val="clear"/>
            <w:tcMar>
              <w:bottom w:w="0"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5" w:type="dxa"/>
            <w:tcBorders/>
            <w:shd w:fill="FFFFFF" w:val="clear"/>
            <w:tcMar>
              <w:bottom w:w="0" w:type="dxa"/>
            </w:tcMar>
            <w:vAlign w:val="center"/>
          </w:tcPr>
          <w:p>
            <w:pPr>
              <w:pStyle w:val="TableContents"/>
              <w:bidi w:val="0"/>
              <w:spacing w:before="0" w:after="283"/>
              <w:jc w:val="left"/>
              <w:rPr/>
            </w:pPr>
            <w:r>
              <w:rPr/>
              <w:t> </w:t>
            </w:r>
          </w:p>
        </w:tc>
        <w:tc>
          <w:tcPr>
            <w:tcW w:w="3425"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Bradley J. Ehrman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18,000 (1)</w:t>
            </w:r>
          </w:p>
        </w:tc>
        <w:tc>
          <w:tcPr>
            <w:tcW w:w="342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$ 389,340</w:t>
            </w:r>
          </w:p>
        </w:tc>
      </w:tr>
      <w:tr>
        <w:trPr/>
        <w:tc>
          <w:tcPr>
            <w:tcW w:w="2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5" w:type="dxa"/>
            <w:tcBorders/>
            <w:shd w:fill="FFFFFF" w:val="clear"/>
            <w:tcMar>
              <w:bottom w:w="0" w:type="dxa"/>
            </w:tcMar>
            <w:vAlign w:val="center"/>
          </w:tcPr>
          <w:p>
            <w:pPr>
              <w:pStyle w:val="TableContents"/>
              <w:bidi w:val="0"/>
              <w:spacing w:before="0" w:after="283"/>
              <w:jc w:val="left"/>
              <w:rPr/>
            </w:pPr>
            <w:r>
              <w:rPr/>
              <w:t> </w:t>
            </w:r>
          </w:p>
        </w:tc>
        <w:tc>
          <w:tcPr>
            <w:tcW w:w="3425"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18,000 (2)</w:t>
            </w:r>
          </w:p>
        </w:tc>
        <w:tc>
          <w:tcPr>
            <w:tcW w:w="342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$ 389,340</w:t>
            </w:r>
          </w:p>
        </w:tc>
      </w:tr>
      <w:tr>
        <w:trPr/>
        <w:tc>
          <w:tcPr>
            <w:tcW w:w="2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5" w:type="dxa"/>
            <w:tcBorders/>
            <w:shd w:fill="FFFFFF" w:val="clear"/>
            <w:tcMar>
              <w:bottom w:w="0" w:type="dxa"/>
            </w:tcMar>
            <w:vAlign w:val="center"/>
          </w:tcPr>
          <w:p>
            <w:pPr>
              <w:pStyle w:val="TableContents"/>
              <w:bidi w:val="0"/>
              <w:spacing w:before="0" w:after="283"/>
              <w:jc w:val="left"/>
              <w:rPr/>
            </w:pPr>
            <w:r>
              <w:rPr/>
              <w:t> </w:t>
            </w:r>
          </w:p>
        </w:tc>
        <w:tc>
          <w:tcPr>
            <w:tcW w:w="3425"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Leslie A. Moriyama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16,000 (1)</w:t>
            </w:r>
          </w:p>
        </w:tc>
        <w:tc>
          <w:tcPr>
            <w:tcW w:w="342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$ 346,080</w:t>
            </w:r>
          </w:p>
        </w:tc>
      </w:tr>
      <w:tr>
        <w:trPr/>
        <w:tc>
          <w:tcPr>
            <w:tcW w:w="233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65" w:type="dxa"/>
            <w:tcBorders/>
            <w:shd w:fill="FFFFFF" w:val="clear"/>
            <w:tcMar>
              <w:bottom w:w="0" w:type="dxa"/>
            </w:tcMar>
            <w:vAlign w:val="center"/>
          </w:tcPr>
          <w:p>
            <w:pPr>
              <w:pStyle w:val="TableContents"/>
              <w:bidi w:val="0"/>
              <w:spacing w:before="0" w:after="283"/>
              <w:jc w:val="left"/>
              <w:rPr/>
            </w:pPr>
            <w:r>
              <w:rPr/>
              <w:t> </w:t>
            </w:r>
          </w:p>
        </w:tc>
        <w:tc>
          <w:tcPr>
            <w:tcW w:w="3425" w:type="dxa"/>
            <w:tcBorders/>
            <w:shd w:fill="FFFFFF" w:val="clear"/>
            <w:tcMar>
              <w:bottom w:w="0" w:type="dxa"/>
            </w:tcMar>
            <w:vAlign w:val="center"/>
          </w:tcPr>
          <w:p>
            <w:pPr>
              <w:pStyle w:val="TableContents"/>
              <w:bidi w:val="0"/>
              <w:spacing w:before="0" w:after="283"/>
              <w:jc w:val="left"/>
              <w:rPr/>
            </w:pPr>
            <w:r>
              <w:rPr/>
              <w:t> </w:t>
            </w:r>
          </w:p>
        </w:tc>
      </w:tr>
      <w:tr>
        <w:trPr/>
        <w:tc>
          <w:tcPr>
            <w:tcW w:w="23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16,000 (2)</w:t>
            </w:r>
          </w:p>
        </w:tc>
        <w:tc>
          <w:tcPr>
            <w:tcW w:w="342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$ 346,080</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This row includes the common unit awards granted to our named executive officers in 2025.</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This row includes the notional unit awards granted to our named executive officers in 2025.</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The amounts in this column are the grant date fair value of stock awards, calculated in accordance with FASB ASC Topic 718.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OUTSTANDING PLAN-BASED AWARDS AT FISCAL YEAR-END 2025</w:t>
      </w:r>
    </w:p>
    <w:p>
      <w:pPr>
        <w:pStyle w:val="TextBody"/>
        <w:bidi w:val="0"/>
        <w:spacing w:before="0" w:after="0"/>
        <w:ind w:left="160" w:right="0" w:hanging="0"/>
        <w:jc w:val="left"/>
        <w:rPr>
          <w:caps w:val="false"/>
          <w:smallCaps w:val="false"/>
        </w:rPr>
      </w:pPr>
      <w:r>
        <w:rPr>
          <w:caps w:val="false"/>
          <w:smallCaps w:val="false"/>
        </w:rPr>
        <w:t> </w:t>
      </w:r>
    </w:p>
    <w:tbl>
      <w:tblPr>
        <w:tblW w:w="9810" w:type="dxa"/>
        <w:jc w:val="left"/>
        <w:tblInd w:w="0" w:type="dxa"/>
        <w:tblLayout w:type="fixed"/>
        <w:tblCellMar>
          <w:top w:w="0" w:type="dxa"/>
          <w:left w:w="0" w:type="dxa"/>
          <w:bottom w:w="28" w:type="dxa"/>
          <w:right w:w="0" w:type="dxa"/>
        </w:tblCellMar>
      </w:tblPr>
      <w:tblGrid>
        <w:gridCol w:w="2315"/>
        <w:gridCol w:w="60"/>
        <w:gridCol w:w="3395"/>
        <w:gridCol w:w="60"/>
        <w:gridCol w:w="60"/>
        <w:gridCol w:w="3860"/>
        <w:gridCol w:w="60"/>
      </w:tblGrid>
      <w:tr>
        <w:trPr/>
        <w:tc>
          <w:tcPr>
            <w:tcW w:w="23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39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Units that Have Not Vested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8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Market Value of Units that Have Not Vested (2)</w:t>
            </w:r>
          </w:p>
        </w:tc>
        <w:tc>
          <w:tcPr>
            <w:tcW w:w="60" w:type="dxa"/>
            <w:tcBorders/>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Casey McManemin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3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386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Bradley J. Ehrman</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3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32,346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386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$ 723,257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3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9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3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Leslie A. Moriyama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39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28,383</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386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$ 634,644</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0" w:type="dxa"/>
            <w:tcBorders/>
            <w:vAlign w:val="center"/>
          </w:tcPr>
          <w:p>
            <w:pPr>
              <w:pStyle w:val="TableContents"/>
              <w:bidi w:val="0"/>
              <w:spacing w:before="0" w:after="283"/>
              <w:jc w:val="left"/>
              <w:rPr>
                <w:sz w:val="20"/>
              </w:rPr>
            </w:pPr>
            <w:r>
              <w:rPr>
                <w:sz w:val="20"/>
              </w:rPr>
              <w:t>This column includes unvested notional common unit awards granted to our named executive officers in 2023, 2024 and 2025 that were unvested as of December 31, 2025. The notional units are subject to the participant remaining in continuous employment with the Partnership through each applicable vesting date. The notional units will vest in accordance with the following schedule: 33.3% on the first anniversary of the grant date, 33.3% on the second anniversary of the grant date and 33.4% on the third anniversary of the grant date. The following sub-table reflects the vesting dates for each award that is disclosed as outstanding within the main table above:</w:t>
            </w:r>
          </w:p>
        </w:tc>
      </w:tr>
    </w:tbl>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28" w:type="dxa"/>
          <w:right w:w="0" w:type="dxa"/>
        </w:tblCellMar>
      </w:tblPr>
      <w:tblGrid>
        <w:gridCol w:w="1640"/>
        <w:gridCol w:w="1070"/>
        <w:gridCol w:w="2750"/>
      </w:tblGrid>
      <w:tr>
        <w:trPr/>
        <w:tc>
          <w:tcPr>
            <w:tcW w:w="16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107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Vesting Date</w:t>
            </w:r>
          </w:p>
        </w:tc>
        <w:tc>
          <w:tcPr>
            <w:tcW w:w="27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Notional Units to Vest</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Bradley J. Ehrman</w:t>
            </w:r>
          </w:p>
        </w:tc>
        <w:tc>
          <w:tcPr>
            <w:tcW w:w="10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12/1/2026</w:t>
            </w:r>
          </w:p>
        </w:tc>
        <w:tc>
          <w:tcPr>
            <w:tcW w:w="27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6,000</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12/3/2026</w:t>
            </w:r>
          </w:p>
        </w:tc>
        <w:tc>
          <w:tcPr>
            <w:tcW w:w="27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4,810</w:t>
            </w:r>
          </w:p>
        </w:tc>
      </w:tr>
      <w:tr>
        <w:trPr/>
        <w:tc>
          <w:tcPr>
            <w:tcW w:w="164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12/15/2026</w:t>
            </w:r>
          </w:p>
        </w:tc>
        <w:tc>
          <w:tcPr>
            <w:tcW w:w="27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4,726</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12/1/2027</w:t>
            </w:r>
          </w:p>
        </w:tc>
        <w:tc>
          <w:tcPr>
            <w:tcW w:w="27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6,000</w:t>
            </w:r>
          </w:p>
        </w:tc>
      </w:tr>
      <w:tr>
        <w:trPr/>
        <w:tc>
          <w:tcPr>
            <w:tcW w:w="164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12/3/2027</w:t>
            </w:r>
          </w:p>
        </w:tc>
        <w:tc>
          <w:tcPr>
            <w:tcW w:w="27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4,810</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12/1/2028</w:t>
            </w:r>
          </w:p>
        </w:tc>
        <w:tc>
          <w:tcPr>
            <w:tcW w:w="27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6,000</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Leslie A. Moriyama</w:t>
            </w:r>
          </w:p>
        </w:tc>
        <w:tc>
          <w:tcPr>
            <w:tcW w:w="1070" w:type="dxa"/>
            <w:tcBorders/>
            <w:shd w:fill="CCEEFF" w:val="clear"/>
            <w:tcMar>
              <w:bottom w:w="0" w:type="dxa"/>
            </w:tcMar>
            <w:vAlign w:val="center"/>
          </w:tcPr>
          <w:p>
            <w:pPr>
              <w:pStyle w:val="TableContents"/>
              <w:bidi w:val="0"/>
              <w:spacing w:before="0" w:after="283"/>
              <w:jc w:val="left"/>
              <w:rPr/>
            </w:pPr>
            <w:r>
              <w:rPr/>
              <w:t> </w:t>
            </w:r>
          </w:p>
        </w:tc>
        <w:tc>
          <w:tcPr>
            <w:tcW w:w="2750"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12/1/2026</w:t>
            </w:r>
          </w:p>
        </w:tc>
        <w:tc>
          <w:tcPr>
            <w:tcW w:w="27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5,333</w:t>
            </w:r>
          </w:p>
        </w:tc>
      </w:tr>
      <w:tr>
        <w:trPr/>
        <w:tc>
          <w:tcPr>
            <w:tcW w:w="164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12/3/2026</w:t>
            </w:r>
          </w:p>
        </w:tc>
        <w:tc>
          <w:tcPr>
            <w:tcW w:w="27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4,017</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12/15/2026</w:t>
            </w:r>
          </w:p>
        </w:tc>
        <w:tc>
          <w:tcPr>
            <w:tcW w:w="27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4,350</w:t>
            </w:r>
          </w:p>
        </w:tc>
      </w:tr>
      <w:tr>
        <w:trPr/>
        <w:tc>
          <w:tcPr>
            <w:tcW w:w="164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12/1/2027</w:t>
            </w:r>
          </w:p>
        </w:tc>
        <w:tc>
          <w:tcPr>
            <w:tcW w:w="27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5,333</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12/3/2027</w:t>
            </w:r>
          </w:p>
        </w:tc>
        <w:tc>
          <w:tcPr>
            <w:tcW w:w="27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4,016</w:t>
            </w:r>
          </w:p>
        </w:tc>
      </w:tr>
      <w:tr>
        <w:trPr/>
        <w:tc>
          <w:tcPr>
            <w:tcW w:w="164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12/1/2028</w:t>
            </w:r>
          </w:p>
        </w:tc>
        <w:tc>
          <w:tcPr>
            <w:tcW w:w="27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5,334</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245"/>
        <w:gridCol w:w="83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8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are the aggregate market value of notional common unit awards as of December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UNITS VESTED DURING 2025</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28" w:type="dxa"/>
          <w:right w:w="0" w:type="dxa"/>
        </w:tblCellMar>
      </w:tblPr>
      <w:tblGrid>
        <w:gridCol w:w="1640"/>
        <w:gridCol w:w="3110"/>
        <w:gridCol w:w="2210"/>
      </w:tblGrid>
      <w:tr>
        <w:trPr/>
        <w:tc>
          <w:tcPr>
            <w:tcW w:w="16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w:t>
            </w:r>
          </w:p>
        </w:tc>
        <w:tc>
          <w:tcPr>
            <w:tcW w:w="311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Units Acquired On Vesting</w:t>
            </w:r>
          </w:p>
        </w:tc>
        <w:tc>
          <w:tcPr>
            <w:tcW w:w="221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Realized on Vesting</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Bradley J. Ehrman</w:t>
            </w:r>
          </w:p>
        </w:tc>
        <w:tc>
          <w:tcPr>
            <w:tcW w:w="31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27,537</w:t>
            </w:r>
          </w:p>
        </w:tc>
        <w:tc>
          <w:tcPr>
            <w:tcW w:w="221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$ 600,303</w:t>
            </w:r>
          </w:p>
        </w:tc>
      </w:tr>
      <w:tr>
        <w:trPr/>
        <w:tc>
          <w:tcPr>
            <w:tcW w:w="1640" w:type="dxa"/>
            <w:tcBorders/>
            <w:shd w:fill="FFFFFF" w:val="clear"/>
            <w:tcMar>
              <w:bottom w:w="0" w:type="dxa"/>
            </w:tcMar>
            <w:vAlign w:val="center"/>
          </w:tcPr>
          <w:p>
            <w:pPr>
              <w:pStyle w:val="TableContents"/>
              <w:bidi w:val="0"/>
              <w:spacing w:before="0" w:after="283"/>
              <w:jc w:val="left"/>
              <w:rPr/>
            </w:pPr>
            <w:r>
              <w:rPr/>
              <w:t> </w:t>
            </w:r>
          </w:p>
        </w:tc>
        <w:tc>
          <w:tcPr>
            <w:tcW w:w="311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Leslie A. Moriyama</w:t>
            </w:r>
          </w:p>
        </w:tc>
        <w:tc>
          <w:tcPr>
            <w:tcW w:w="31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24,368</w:t>
            </w:r>
          </w:p>
        </w:tc>
        <w:tc>
          <w:tcPr>
            <w:tcW w:w="221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$ 531,160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u w:val="single"/>
        </w:rPr>
      </w:pPr>
      <w:r>
        <w:rPr>
          <w:rFonts w:ascii="Times New Roman" w:hAnsi="Times New Roman"/>
          <w:smallCaps/>
          <w:sz w:val="20"/>
          <w:u w:val="single"/>
        </w:rPr>
        <w:t>POTENTIAL PAYMENTS UPON TERMINATION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entered into employment agreements with any of our named executive officers. We have no contractual or other obligation to provide severance benefits or other payments in the event of a change of control or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u w:val="single"/>
        </w:rPr>
      </w:pPr>
      <w:r>
        <w:rPr>
          <w:rFonts w:ascii="Times New Roman" w:hAnsi="Times New Roman"/>
          <w:smallCaps/>
          <w:sz w:val="20"/>
          <w:u w:val="single"/>
        </w:rPr>
        <w:t>PAY RATIO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Pursuant to the Dodd-Frank Act, the Securities and Exchange Commission adopted a rule requiring annual disclosure of the ratio of the total annual compensation of the principal executive officer (“PEO”) to the median employee’s annual total compensation. Mr. Bradley J. Ehrman is the Partnership’s Chief Executive Officer. In the pay ratio table below, Mr. Ehrman’s total compensation (as reflected in the foregoing Summary Compensation Table contained within this Proxy Statement) is compared to the median employee’s total compensation. For simplicity, the value of the Partnership’s retirement plan was excluded for Mr. Ehrman and all permanent employees, as all employees, including the PEO, are offered the same benefits. In determining the median employee for the year ended December 31, 2025, a listing was prepared of all employees that were actively employed as of December 31, 2025, with the exception of Mr. Ehrman. All wages, bonuses and units awarded to each employee were deemed to be the employee’s total compensation. If a permanent employee was not employed by the Partnership for the entirety of the year, an annualized total compensation was calculated for that employee. This methodology is consistent with the methodology used in determining the median employee for the year ended December 31, 2024. The table below presents the ratio of the median of the annual total compensation of all employees, except Mr. Ehrman, to the annual total compensation of the Partnership’s Principal Executive Officer:</w:t>
      </w:r>
    </w:p>
    <w:p>
      <w:pPr>
        <w:pStyle w:val="TextBody"/>
        <w:bidi w:val="0"/>
        <w:spacing w:before="0" w:after="0"/>
        <w:ind w:left="160" w:right="0" w:firstLine="72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5105"/>
        <w:gridCol w:w="60"/>
        <w:gridCol w:w="995"/>
        <w:gridCol w:w="60"/>
      </w:tblGrid>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Mr. Bradley J. Ehrman (PEO) total annual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$ 1,563,680</w:t>
            </w:r>
          </w:p>
        </w:tc>
        <w:tc>
          <w:tcPr>
            <w:tcW w:w="6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Median Employee total annual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$ 187,752</w:t>
            </w:r>
          </w:p>
        </w:tc>
        <w:tc>
          <w:tcPr>
            <w:tcW w:w="6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Ratio of PEO to Median Employee total annual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8.3:1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PAY VERSUS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following table shows the total compensation for our Named Executive Officers for the past five fiscal years as set forth in the Summary Compensation Table, the “compensation actually paid,” or “CAP”, to our CEO (also referred to as the principal executive officer or “PEO”) and, on an average basis, our non-PEO Named Executive Officers (in each case, as determined under SEC rules), our Total Unitholder Return (“TUR”), and the Total Shareholder Return (“TSR”) of our industry peer group over the same period, and our net income.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Pay Versus Performance Table (1)</w:t>
      </w:r>
    </w:p>
    <w:tbl>
      <w:tblPr>
        <w:tblW w:w="10205" w:type="dxa"/>
        <w:jc w:val="left"/>
        <w:tblInd w:w="0" w:type="dxa"/>
        <w:tblLayout w:type="fixed"/>
        <w:tblCellMar>
          <w:top w:w="28" w:type="dxa"/>
          <w:left w:w="28" w:type="dxa"/>
          <w:bottom w:w="0" w:type="dxa"/>
          <w:right w:w="28" w:type="dxa"/>
        </w:tblCellMar>
      </w:tblPr>
      <w:tblGrid>
        <w:gridCol w:w="395"/>
        <w:gridCol w:w="60"/>
        <w:gridCol w:w="750"/>
        <w:gridCol w:w="60"/>
        <w:gridCol w:w="60"/>
        <w:gridCol w:w="886"/>
        <w:gridCol w:w="60"/>
        <w:gridCol w:w="60"/>
        <w:gridCol w:w="740"/>
        <w:gridCol w:w="60"/>
        <w:gridCol w:w="60"/>
        <w:gridCol w:w="875"/>
        <w:gridCol w:w="60"/>
        <w:gridCol w:w="60"/>
        <w:gridCol w:w="1104"/>
        <w:gridCol w:w="60"/>
        <w:gridCol w:w="60"/>
        <w:gridCol w:w="1096"/>
        <w:gridCol w:w="60"/>
        <w:gridCol w:w="60"/>
        <w:gridCol w:w="796"/>
        <w:gridCol w:w="60"/>
        <w:gridCol w:w="60"/>
        <w:gridCol w:w="901"/>
        <w:gridCol w:w="60"/>
        <w:gridCol w:w="60"/>
        <w:gridCol w:w="432"/>
        <w:gridCol w:w="60"/>
        <w:gridCol w:w="60"/>
        <w:gridCol w:w="1010"/>
        <w:gridCol w:w="80"/>
      </w:tblGrid>
      <w:tr>
        <w:trPr/>
        <w:tc>
          <w:tcPr>
            <w:tcW w:w="395" w:type="dxa"/>
            <w:tcBorders>
              <w:top w:val="single" w:sz="2" w:space="0" w:color="000000"/>
              <w:left w:val="single" w:sz="2" w:space="0" w:color="000000"/>
              <w:right w:val="single" w:sz="2" w:space="0" w:color="000000"/>
            </w:tcBorders>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750"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886"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6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740"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875"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6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1104"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6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1096"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6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bottom w:w="28" w:type="dxa"/>
              <w:right w:w="0" w:type="dxa"/>
            </w:tcMar>
            <w:vAlign w:val="center"/>
          </w:tcPr>
          <w:p>
            <w:pPr>
              <w:pStyle w:val="TableContents"/>
              <w:bidi w:val="0"/>
              <w:spacing w:before="0" w:after="283"/>
              <w:ind w:left="0" w:right="0" w:hanging="0"/>
              <w:jc w:val="left"/>
              <w:rPr/>
            </w:pPr>
            <w:r>
              <w:rPr/>
              <w:t> </w:t>
            </w:r>
          </w:p>
        </w:tc>
        <w:tc>
          <w:tcPr>
            <w:tcW w:w="2369" w:type="dxa"/>
            <w:gridSpan w:val="7"/>
            <w:tcBorders>
              <w:top w:val="single" w:sz="2" w:space="0" w:color="000000"/>
              <w:bottom w:val="single" w:sz="2" w:space="0" w:color="000000"/>
            </w:tcBorders>
            <w:tcMar>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Value of Initial</w:t>
              <w:br/>
              <w:t>Fixed $100</w:t>
              <w:br/>
              <w:t>Investment Based On:</w:t>
            </w:r>
          </w:p>
        </w:tc>
        <w:tc>
          <w:tcPr>
            <w:tcW w:w="60"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283"/>
              <w:jc w:val="left"/>
              <w:rPr/>
            </w:pPr>
            <w:r>
              <w:rPr/>
              <w:t> </w:t>
            </w:r>
          </w:p>
        </w:tc>
        <w:tc>
          <w:tcPr>
            <w:tcW w:w="60" w:type="dxa"/>
            <w:tcBorders>
              <w:top w:val="single" w:sz="2" w:space="0" w:color="000000"/>
            </w:tcBorders>
            <w:tcMar>
              <w:left w:w="0" w:type="dxa"/>
              <w:right w:w="0" w:type="dxa"/>
            </w:tcMar>
            <w:vAlign w:val="center"/>
          </w:tcPr>
          <w:p>
            <w:pPr>
              <w:pStyle w:val="TableContents"/>
              <w:bidi w:val="0"/>
              <w:spacing w:before="0" w:after="283"/>
              <w:jc w:val="left"/>
              <w:rPr/>
            </w:pPr>
            <w:r>
              <w:rPr/>
              <w:t> </w:t>
            </w:r>
          </w:p>
        </w:tc>
        <w:tc>
          <w:tcPr>
            <w:tcW w:w="1010" w:type="dxa"/>
            <w:tcBorders>
              <w:top w:val="single" w:sz="2" w:space="0" w:color="000000"/>
            </w:tcBorders>
            <w:tcMar>
              <w:left w:w="0" w:type="dxa"/>
              <w:right w:w="0" w:type="dxa"/>
            </w:tcMar>
            <w:vAlign w:val="center"/>
          </w:tcPr>
          <w:p>
            <w:pPr>
              <w:pStyle w:val="TableContents"/>
              <w:bidi w:val="0"/>
              <w:spacing w:before="0" w:after="283"/>
              <w:jc w:val="center"/>
              <w:rPr/>
            </w:pPr>
            <w:r>
              <w:rPr/>
              <w:t> </w:t>
            </w:r>
          </w:p>
        </w:tc>
        <w:tc>
          <w:tcPr>
            <w:tcW w:w="80" w:type="dxa"/>
            <w:tcBorders>
              <w:top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Year</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756" w:type="dxa"/>
            <w:gridSpan w:val="4"/>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Summary Compensation Table Total for PEO (2)(3)</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735" w:type="dxa"/>
            <w:gridSpan w:val="4"/>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Compensation Actually</w:t>
            </w:r>
          </w:p>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Paid to PEO (4)</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Average Summary Compensation Table Total for Non-PEO Named Executive Officers (5)</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Average Compensation Actually Paid to Non-PEO Named Executive Officers (4)</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Total Unitholder Return</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Peer Group Total Shareholder Return (6)(7)</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XOP Index (6)</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Net Income</w:t>
            </w:r>
          </w:p>
        </w:tc>
        <w:tc>
          <w:tcPr>
            <w:tcW w:w="8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(a)</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(b)</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(c)</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(d)</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(e)</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(g)</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(h)</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(i)</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(k)</w:t>
            </w:r>
          </w:p>
        </w:tc>
        <w:tc>
          <w:tcPr>
            <w:tcW w:w="8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right w:val="single" w:sz="2" w:space="0" w:color="000000"/>
            </w:tcBorders>
            <w:shd w:fill="CCEE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2025</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center"/>
              <w:rPr/>
            </w:pPr>
            <w:r>
              <w:rPr/>
              <w:t> </w:t>
            </w:r>
          </w:p>
        </w:tc>
        <w:tc>
          <w:tcPr>
            <w:tcW w:w="75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$ 1,633,680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$ 1,382,540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$ 818,680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$ 709,687</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$ 354</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$ 406</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$ 216</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$ 57,352,000</w:t>
            </w:r>
          </w:p>
        </w:tc>
        <w:tc>
          <w:tcPr>
            <w:tcW w:w="8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2024</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$ 1,759,072</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$ 1,762,347</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$ 866,741</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$ 868,913</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$ 477</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$ 445</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$ 226</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$ 92,449,000</w:t>
            </w:r>
          </w:p>
        </w:tc>
        <w:tc>
          <w:tcPr>
            <w:tcW w:w="8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right w:val="single" w:sz="2" w:space="0" w:color="000000"/>
            </w:tcBorders>
            <w:shd w:fill="CCEE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2023</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$ 115,200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$ 1,591,010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$ 115,200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$ 1,602,354</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$ 808,103</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$ 813,325</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$ 409</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$ 319</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$ 234</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$114,117,000</w:t>
            </w:r>
          </w:p>
        </w:tc>
        <w:tc>
          <w:tcPr>
            <w:tcW w:w="8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right w:val="single" w:sz="2" w:space="0" w:color="000000"/>
            </w:tcBorders>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2022</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$ 115,200</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$ 927,277</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$ 115,200</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$ 927,277</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$ 853,172</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$ 853,172</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$ 342</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$ 305</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$ 232</w:t>
            </w:r>
          </w:p>
        </w:tc>
        <w:tc>
          <w:tcPr>
            <w:tcW w:w="6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$130,607,000</w:t>
            </w:r>
          </w:p>
        </w:tc>
        <w:tc>
          <w:tcPr>
            <w:tcW w:w="80" w:type="dxa"/>
            <w:tcBorders>
              <w:bottom w:val="single" w:sz="2" w:space="0" w:color="000000"/>
              <w:right w:val="single" w:sz="2" w:space="0" w:color="000000"/>
            </w:tcBorders>
            <w:tcMar>
              <w:top w:w="0" w:type="dxa"/>
              <w:left w:w="0" w:type="dxa"/>
              <w:bottom w:w="28" w:type="dxa"/>
            </w:tcMar>
            <w:vAlign w:val="center"/>
          </w:tcPr>
          <w:p>
            <w:pPr>
              <w:pStyle w:val="TableContents"/>
              <w:bidi w:val="0"/>
              <w:spacing w:before="0" w:after="283"/>
              <w:jc w:val="left"/>
              <w:rPr/>
            </w:pPr>
            <w:r>
              <w:rPr/>
              <w:t> </w:t>
            </w:r>
          </w:p>
        </w:tc>
      </w:tr>
      <w:tr>
        <w:trPr/>
        <w:tc>
          <w:tcPr>
            <w:tcW w:w="395" w:type="dxa"/>
            <w:tcBorders>
              <w:left w:val="single" w:sz="2" w:space="0" w:color="000000"/>
              <w:bottom w:val="single" w:sz="2" w:space="0" w:color="000000"/>
              <w:right w:val="single" w:sz="2" w:space="0" w:color="000000"/>
            </w:tcBorders>
            <w:shd w:fill="CCEE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2021</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5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$ 115,200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$ 115,200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104"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$ 603,680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$ 603,680</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796"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$ 199</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$ 183</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432"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$ 164</w:t>
            </w:r>
          </w:p>
        </w:tc>
        <w:tc>
          <w:tcPr>
            <w:tcW w:w="6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top w:w="0" w:type="dxa"/>
              <w:left w:w="0" w:type="dxa"/>
              <w:bottom w:w="28" w:type="dxa"/>
              <w:right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$ 70,174,000</w:t>
            </w:r>
          </w:p>
        </w:tc>
        <w:tc>
          <w:tcPr>
            <w:tcW w:w="80"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we did not use any financial or non-financial performance measures to link executive compensation actually paid to company performance, we have not included a tabular list of the most important performance measures in accordance with Item 402(v)(6) of Regulation 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Narrative Disclosure to Pay vs. Performance Table: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did not use any financial performance measures to link executive compensation actually paid to company performance.  Accordingly, we have not included a Company-Selected Measure in the pay versus performance tabular disclosure below.</w:t>
            </w:r>
          </w:p>
        </w:tc>
      </w:tr>
      <w:tr>
        <w:trPr/>
        <w:tc>
          <w:tcPr>
            <w:tcW w:w="75"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dollar amounts reported in column (b) are the amounts of total compensation reported for William Casey McManemin who served as Chief Executive Officer of the Partnership until his resignation from such position, effective October 1, 2022.</w:t>
            </w:r>
          </w:p>
        </w:tc>
      </w:tr>
      <w:tr>
        <w:trPr/>
        <w:tc>
          <w:tcPr>
            <w:tcW w:w="75"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dollar amounts reported in column (c) are the annual amounts of total compensation reported for Bradley J. Ehrman who has served as the Chief Executive Officer of the Partnership since his appointment to such position, effective October 1, 2022.</w:t>
            </w:r>
          </w:p>
        </w:tc>
      </w:tr>
      <w:tr>
        <w:trPr/>
        <w:tc>
          <w:tcPr>
            <w:tcW w:w="75"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dollar amounts reported represent the amount of CAP to the applicable Named Executive Officer, as computed in accordance with Item 402(v) of Regulation S-K. The dollar amounts do not reflect the actual amount of compensation earned by or paid during the applicable year. In accordance with the requirements of Item 402(v) of Regulation S-K, no adjustments were made to total compensation, as reported in the Summary Compensation Table, for 2021 through 2022 to determine the compensation actually paid because our Named Executive Officers were either granted common units that were fully vested as of the date of grant or, in the case of Mr. McManemin, did not receive any unit awards. However, in 2023-2025, Mr. Ehrman and Ms. Moriyama were granted notional units that vest, subject to the NEO’s continued employment, as follows: 33.3% on the first anniversary of the grant date, 33.3% on the second anniversary of the grant date and 33.4% on the third anniversary of the grant date. Accordingly, adjustments were made to the total compensation, as reported in the Summary Compensation Table, for 2023-2025 to determine the CAP to Mr. Ehrman and Ms. Moriyama, as detailed in the table below.</w:t>
            </w:r>
          </w:p>
        </w:tc>
      </w:tr>
      <w:tr>
        <w:trPr/>
        <w:tc>
          <w:tcPr>
            <w:tcW w:w="75"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Non-PEO Named Executive Officers total in columns (f) and (g) include the total compensation for Leslie Moriyama and Casey McManemin for 2025, 2024, 2023 and 2022 and Leslie Moriyama and Bradley Ehrman for 2021.</w:t>
            </w:r>
          </w:p>
        </w:tc>
      </w:tr>
      <w:tr>
        <w:trPr/>
        <w:tc>
          <w:tcPr>
            <w:tcW w:w="75"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2025, we have changed from the self-selected industry peer group in column (i) to the SPDR S&amp;P Oil &amp; Gas Exploration &amp; Production ETF (“XOP”) in column (j) for comparison of cumulative total shareholder return to the cumulative total unitholder return on our common units in column (h). Due to consolidation within our industry, for 2025 the industry peer group we selected is comprised of the following companies: Black Stone Minerals, L.P., Viper Energy, Inc., and Kimbell Royalty Partners, L.P. Over time, consolidation within the minerals and royalties industry has resulted in a smaller, less stable set of entities, and we believe the XOP index provides a broader and more consistent benchmark for comparison. This change is consistent with the peer group used in our performance graph in our Annual Report on Form 10-K for the fiscal year ended December 31, 2025. Peer group total shareholder return values for all years in column (i) above have been recalculated using the peer group selected for 2025.</w:t>
            </w:r>
          </w:p>
        </w:tc>
      </w:tr>
      <w:tr>
        <w:trPr/>
        <w:tc>
          <w:tcPr>
            <w:tcW w:w="75" w:type="dxa"/>
            <w:tcBorders/>
            <w:vAlign w:val="center"/>
          </w:tcPr>
          <w:p>
            <w:pPr>
              <w:pStyle w:val="TableContents"/>
              <w:bidi w:val="0"/>
              <w:spacing w:before="0" w:after="283"/>
              <w:jc w:val="both"/>
              <w:rPr/>
            </w:pPr>
            <w:r>
              <w:rPr/>
              <w:t> </w:t>
            </w:r>
          </w:p>
        </w:tc>
        <w:tc>
          <w:tcPr>
            <w:tcW w:w="1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Unitholder Return and Peer Group Total Shareholder Return values assume a $100 investment on December 31, 2020. In the prior year’s pay versus performance disclosure, these values were calculated assuming a $100 investment on December 31, 2019. As a result, values for overlapping years (2021–2024) have been recalculated using the updated measurement period and are not directly comparable to the values disclosed in our 2025 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70" w:type="dxa"/>
        <w:jc w:val="left"/>
        <w:tblInd w:w="0" w:type="dxa"/>
        <w:tblLayout w:type="fixed"/>
        <w:tblCellMar>
          <w:top w:w="0" w:type="dxa"/>
          <w:left w:w="0" w:type="dxa"/>
          <w:bottom w:w="28" w:type="dxa"/>
          <w:right w:w="0" w:type="dxa"/>
        </w:tblCellMar>
      </w:tblPr>
      <w:tblGrid>
        <w:gridCol w:w="395"/>
        <w:gridCol w:w="815"/>
        <w:gridCol w:w="60"/>
        <w:gridCol w:w="85"/>
        <w:gridCol w:w="1060"/>
        <w:gridCol w:w="60"/>
        <w:gridCol w:w="60"/>
        <w:gridCol w:w="62"/>
        <w:gridCol w:w="633"/>
        <w:gridCol w:w="60"/>
        <w:gridCol w:w="60"/>
        <w:gridCol w:w="89"/>
        <w:gridCol w:w="906"/>
        <w:gridCol w:w="60"/>
        <w:gridCol w:w="60"/>
        <w:gridCol w:w="60"/>
        <w:gridCol w:w="605"/>
        <w:gridCol w:w="60"/>
        <w:gridCol w:w="60"/>
        <w:gridCol w:w="82"/>
        <w:gridCol w:w="913"/>
        <w:gridCol w:w="80"/>
        <w:gridCol w:w="60"/>
        <w:gridCol w:w="60"/>
        <w:gridCol w:w="665"/>
        <w:gridCol w:w="80"/>
        <w:gridCol w:w="60"/>
        <w:gridCol w:w="375"/>
        <w:gridCol w:w="500"/>
        <w:gridCol w:w="60"/>
        <w:gridCol w:w="60"/>
        <w:gridCol w:w="84"/>
        <w:gridCol w:w="941"/>
        <w:gridCol w:w="80"/>
        <w:gridCol w:w="60"/>
        <w:gridCol w:w="60"/>
        <w:gridCol w:w="740"/>
        <w:gridCol w:w="60"/>
      </w:tblGrid>
      <w:tr>
        <w:trPr/>
        <w:tc>
          <w:tcPr>
            <w:tcW w:w="39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w:t>
            </w:r>
          </w:p>
        </w:tc>
        <w:tc>
          <w:tcPr>
            <w:tcW w:w="81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Executive(s)</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Summary Compensation Table Total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Subtract Stock Awards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 Year-End Fair Value of Equity Awards Granted in the Year that are Outstanding and Unvested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 Amount Equal to Fair Value as of the Vesting Date for Awards Granted and Vested in Covered Fiscal Year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 Amount Equal to Change as of the End of Fiscal Year from End of Prior Fiscal Year in Fair Value of Awards Granted in any Prior Fiscal Year that are Outstanding and Unvested Equity Awards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 Amount Equal to Change as of the Vesting Date from the End of Prior Fiscal Year in Fair Value of Equity Awards Granted in Prior Years that Vested in the Year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Subtract Fair Value as of the End of the Prior Year of any Equity Awards Granted in a Prior Year that Failed to Meet Vesting Conditions in the Year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Equity Award Adjustments ($)</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CAP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p>
        </w:tc>
        <w:tc>
          <w:tcPr>
            <w:tcW w:w="8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PEO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1,633,680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778,680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9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402,480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389,340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9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(157,376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(106,905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9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(251,140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1,382,540</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Non-PEO NEOs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818,680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346,080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178,880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173,040</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(67,921</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(46,913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(108,993</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709,687</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2024</w:t>
            </w:r>
          </w:p>
        </w:tc>
        <w:tc>
          <w:tcPr>
            <w:tcW w:w="8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PEO (2)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5" w:type="dxa"/>
            <w:tcBorders/>
            <w:shd w:fill="CCEEFF" w:val="clear"/>
            <w:tcMar>
              <w:bottom w:w="0" w:type="dxa"/>
            </w:tcMar>
            <w:vAlign w:val="center"/>
          </w:tcPr>
          <w:p>
            <w:pPr>
              <w:pStyle w:val="TableContents"/>
              <w:bidi w:val="0"/>
              <w:spacing w:before="0" w:after="0"/>
              <w:ind w:left="0" w:right="0" w:hanging="0"/>
              <w:jc w:val="left"/>
              <w:rPr/>
            </w:pPr>
            <w:r>
              <w:rPr/>
              <w:t> </w:t>
            </w:r>
          </w:p>
        </w:tc>
        <w:tc>
          <w:tcPr>
            <w:tcW w:w="106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1,759,072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2" w:type="dxa"/>
            <w:tcBorders/>
            <w:shd w:fill="CCEEFF" w:val="clear"/>
            <w:tcMar>
              <w:bottom w:w="0" w:type="dxa"/>
            </w:tcMar>
            <w:vAlign w:val="center"/>
          </w:tcPr>
          <w:p>
            <w:pPr>
              <w:pStyle w:val="TableContents"/>
              <w:bidi w:val="0"/>
              <w:spacing w:before="0" w:after="0"/>
              <w:ind w:left="0" w:right="0" w:hanging="0"/>
              <w:jc w:val="left"/>
              <w:rPr/>
            </w:pPr>
            <w:r>
              <w:rPr/>
              <w:t> </w:t>
            </w:r>
          </w:p>
        </w:tc>
        <w:tc>
          <w:tcPr>
            <w:tcW w:w="63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993,072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9" w:type="dxa"/>
            <w:tcBorders/>
            <w:shd w:fill="CCEEFF" w:val="clear"/>
            <w:tcMar>
              <w:bottom w:w="0" w:type="dxa"/>
            </w:tcMar>
            <w:vAlign w:val="center"/>
          </w:tcPr>
          <w:p>
            <w:pPr>
              <w:pStyle w:val="TableContents"/>
              <w:bidi w:val="0"/>
              <w:spacing w:before="0" w:after="0"/>
              <w:ind w:left="0" w:right="0" w:hanging="0"/>
              <w:jc w:val="left"/>
              <w:rPr/>
            </w:pPr>
            <w:r>
              <w:rPr/>
              <w:t> </w:t>
            </w:r>
          </w:p>
        </w:tc>
        <w:tc>
          <w:tcPr>
            <w:tcW w:w="906"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480,952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496,536</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2" w:type="dxa"/>
            <w:tcBorders/>
            <w:shd w:fill="CCEEFF" w:val="clear"/>
            <w:tcMar>
              <w:bottom w:w="0" w:type="dxa"/>
            </w:tcMar>
            <w:vAlign w:val="center"/>
          </w:tcPr>
          <w:p>
            <w:pPr>
              <w:pStyle w:val="TableContents"/>
              <w:bidi w:val="0"/>
              <w:spacing w:before="0" w:after="0"/>
              <w:ind w:left="0" w:right="0" w:hanging="0"/>
              <w:jc w:val="left"/>
              <w:rPr/>
            </w:pPr>
            <w:r>
              <w:rPr/>
              <w:t> </w:t>
            </w:r>
          </w:p>
        </w:tc>
        <w:tc>
          <w:tcPr>
            <w:tcW w:w="91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14,180</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4,680</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75" w:type="dxa"/>
            <w:tcBorders/>
            <w:shd w:fill="CCEEFF" w:val="clear"/>
            <w:tcMar>
              <w:bottom w:w="0" w:type="dxa"/>
            </w:tcMar>
            <w:vAlign w:val="center"/>
          </w:tcPr>
          <w:p>
            <w:pPr>
              <w:pStyle w:val="TableContents"/>
              <w:bidi w:val="0"/>
              <w:spacing w:before="0" w:after="0"/>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4" w:type="dxa"/>
            <w:tcBorders/>
            <w:shd w:fill="CCEEFF" w:val="clear"/>
            <w:tcMar>
              <w:bottom w:w="0" w:type="dxa"/>
            </w:tcMar>
            <w:vAlign w:val="center"/>
          </w:tcPr>
          <w:p>
            <w:pPr>
              <w:pStyle w:val="TableContents"/>
              <w:bidi w:val="0"/>
              <w:spacing w:before="0" w:after="0"/>
              <w:ind w:left="0" w:right="0" w:hanging="0"/>
              <w:jc w:val="left"/>
              <w:rPr/>
            </w:pPr>
            <w:r>
              <w:rPr/>
              <w:t> </w:t>
            </w:r>
          </w:p>
        </w:tc>
        <w:tc>
          <w:tcPr>
            <w:tcW w:w="94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3,275</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1,762,347</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39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Non-PEO NEOs</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866,741</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414,641</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9"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200,813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207,321</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2"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1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6,526</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2,154</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375"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84"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941"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2,172</w:t>
            </w:r>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868,913</w:t>
            </w:r>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3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2023</w:t>
            </w:r>
          </w:p>
        </w:tc>
        <w:tc>
          <w:tcPr>
            <w:tcW w:w="8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PEO (2)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5" w:type="dxa"/>
            <w:tcBorders/>
            <w:shd w:fill="CCEEFF" w:val="clear"/>
            <w:tcMar>
              <w:bottom w:w="0" w:type="dxa"/>
            </w:tcMar>
            <w:vAlign w:val="center"/>
          </w:tcPr>
          <w:p>
            <w:pPr>
              <w:pStyle w:val="TableContents"/>
              <w:bidi w:val="0"/>
              <w:spacing w:before="0" w:after="0"/>
              <w:ind w:left="0" w:right="0" w:hanging="0"/>
              <w:jc w:val="left"/>
              <w:rPr/>
            </w:pPr>
            <w:r>
              <w:rPr/>
              <w:t> </w:t>
            </w:r>
          </w:p>
        </w:tc>
        <w:tc>
          <w:tcPr>
            <w:tcW w:w="106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1,591,010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2" w:type="dxa"/>
            <w:tcBorders/>
            <w:shd w:fill="CCEEFF" w:val="clear"/>
            <w:tcMar>
              <w:bottom w:w="0" w:type="dxa"/>
            </w:tcMar>
            <w:vAlign w:val="center"/>
          </w:tcPr>
          <w:p>
            <w:pPr>
              <w:pStyle w:val="TableContents"/>
              <w:bidi w:val="0"/>
              <w:spacing w:before="0" w:after="0"/>
              <w:ind w:left="0" w:right="0" w:hanging="0"/>
              <w:jc w:val="left"/>
              <w:rPr/>
            </w:pPr>
            <w:r>
              <w:rPr/>
              <w:t> </w:t>
            </w:r>
          </w:p>
        </w:tc>
        <w:tc>
          <w:tcPr>
            <w:tcW w:w="63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880,010</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9" w:type="dxa"/>
            <w:tcBorders/>
            <w:shd w:fill="CCEEFF" w:val="clear"/>
            <w:tcMar>
              <w:bottom w:w="0" w:type="dxa"/>
            </w:tcMar>
            <w:vAlign w:val="center"/>
          </w:tcPr>
          <w:p>
            <w:pPr>
              <w:pStyle w:val="TableContents"/>
              <w:bidi w:val="0"/>
              <w:spacing w:before="0" w:after="0"/>
              <w:ind w:left="0" w:right="0" w:hanging="0"/>
              <w:jc w:val="left"/>
              <w:rPr/>
            </w:pPr>
            <w:r>
              <w:rPr/>
              <w:t> </w:t>
            </w:r>
          </w:p>
        </w:tc>
        <w:tc>
          <w:tcPr>
            <w:tcW w:w="906"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451,349</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440,005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2" w:type="dxa"/>
            <w:tcBorders/>
            <w:shd w:fill="CCEEFF" w:val="clear"/>
            <w:tcMar>
              <w:bottom w:w="0" w:type="dxa"/>
            </w:tcMar>
            <w:vAlign w:val="center"/>
          </w:tcPr>
          <w:p>
            <w:pPr>
              <w:pStyle w:val="TableContents"/>
              <w:bidi w:val="0"/>
              <w:spacing w:before="0" w:after="0"/>
              <w:ind w:left="0" w:right="0" w:hanging="0"/>
              <w:jc w:val="left"/>
              <w:rPr/>
            </w:pPr>
            <w:r>
              <w:rPr/>
              <w:t> </w:t>
            </w:r>
          </w:p>
        </w:tc>
        <w:tc>
          <w:tcPr>
            <w:tcW w:w="913"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375" w:type="dxa"/>
            <w:tcBorders/>
            <w:shd w:fill="CCEEFF" w:val="clear"/>
            <w:tcMar>
              <w:bottom w:w="0" w:type="dxa"/>
            </w:tcMar>
            <w:vAlign w:val="center"/>
          </w:tcPr>
          <w:p>
            <w:pPr>
              <w:pStyle w:val="TableContents"/>
              <w:bidi w:val="0"/>
              <w:spacing w:before="0" w:after="0"/>
              <w:ind w:left="0" w:right="0" w:hanging="0"/>
              <w:jc w:val="left"/>
              <w:rPr/>
            </w:pPr>
            <w:r>
              <w:rPr/>
              <w:t> </w:t>
            </w:r>
          </w:p>
        </w:tc>
        <w:tc>
          <w:tcPr>
            <w:tcW w:w="50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84" w:type="dxa"/>
            <w:tcBorders/>
            <w:shd w:fill="CCEEFF" w:val="clear"/>
            <w:tcMar>
              <w:bottom w:w="0" w:type="dxa"/>
            </w:tcMar>
            <w:vAlign w:val="center"/>
          </w:tcPr>
          <w:p>
            <w:pPr>
              <w:pStyle w:val="TableContents"/>
              <w:bidi w:val="0"/>
              <w:spacing w:before="0" w:after="0"/>
              <w:ind w:left="0" w:right="0" w:hanging="0"/>
              <w:jc w:val="left"/>
              <w:rPr/>
            </w:pPr>
            <w:r>
              <w:rPr/>
              <w:t> </w:t>
            </w:r>
          </w:p>
        </w:tc>
        <w:tc>
          <w:tcPr>
            <w:tcW w:w="94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11,344</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1,602,354</w:t>
            </w:r>
          </w:p>
        </w:tc>
        <w:tc>
          <w:tcPr>
            <w:tcW w:w="60" w:type="dxa"/>
            <w:tcBorders/>
            <w:shd w:fill="CCEEFF" w:val="clear"/>
            <w:tcMar>
              <w:bottom w:w="0" w:type="dxa"/>
            </w:tcMar>
            <w:vAlign w:val="center"/>
          </w:tcPr>
          <w:p>
            <w:pPr>
              <w:pStyle w:val="TableContents"/>
              <w:bidi w:val="0"/>
              <w:spacing w:before="0" w:after="0"/>
              <w:jc w:val="left"/>
              <w:rPr/>
            </w:pPr>
            <w:r>
              <w:rPr/>
              <w:t> </w:t>
            </w:r>
          </w:p>
        </w:tc>
      </w:tr>
      <w:tr>
        <w:trPr/>
        <w:tc>
          <w:tcPr>
            <w:tcW w:w="39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Non-PEO NEOs</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808,103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405,003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207,723</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202,502</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3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813,325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3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2022</w:t>
            </w:r>
          </w:p>
        </w:tc>
        <w:tc>
          <w:tcPr>
            <w:tcW w:w="8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PEO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 w:type="dxa"/>
            <w:tcBorders/>
            <w:shd w:fill="CCEEFF" w:val="clear"/>
            <w:tcMar>
              <w:bottom w:w="0" w:type="dxa"/>
            </w:tcMar>
            <w:vAlign w:val="center"/>
          </w:tcPr>
          <w:p>
            <w:pPr>
              <w:pStyle w:val="TableContents"/>
              <w:bidi w:val="0"/>
              <w:spacing w:before="0" w:after="283"/>
              <w:ind w:left="0" w:right="0" w:hanging="0"/>
              <w:jc w:val="left"/>
              <w:rPr/>
            </w:pPr>
            <w:r>
              <w:rPr/>
              <w:t> </w:t>
            </w:r>
          </w:p>
        </w:tc>
        <w:tc>
          <w:tcPr>
            <w:tcW w:w="10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ind w:left="0" w:right="0" w:hanging="0"/>
              <w:jc w:val="left"/>
              <w:rPr/>
            </w:pPr>
            <w:r>
              <w:rPr/>
              <w:t> </w:t>
            </w:r>
          </w:p>
        </w:tc>
        <w:tc>
          <w:tcPr>
            <w:tcW w:w="63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9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ind w:left="0" w:right="0" w:hanging="0"/>
              <w:jc w:val="left"/>
              <w:rPr/>
            </w:pPr>
            <w:r>
              <w:rPr/>
              <w:t> </w:t>
            </w:r>
          </w:p>
        </w:tc>
        <w:tc>
          <w:tcPr>
            <w:tcW w:w="91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6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5" w:type="dxa"/>
            <w:tcBorders/>
            <w:shd w:fill="CCEEFF" w:val="clear"/>
            <w:tcMar>
              <w:bottom w:w="0" w:type="dxa"/>
            </w:tcMar>
            <w:vAlign w:val="center"/>
          </w:tcPr>
          <w:p>
            <w:pPr>
              <w:pStyle w:val="TableContents"/>
              <w:bidi w:val="0"/>
              <w:spacing w:before="0" w:after="283"/>
              <w:ind w:left="0" w:right="0" w:hanging="0"/>
              <w:jc w:val="left"/>
              <w:rPr/>
            </w:pPr>
            <w:r>
              <w:rPr/>
              <w:t> </w:t>
            </w:r>
          </w:p>
        </w:tc>
        <w:tc>
          <w:tcPr>
            <w:tcW w:w="50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ind w:left="0" w:right="0" w:hanging="0"/>
              <w:jc w:val="left"/>
              <w:rPr/>
            </w:pPr>
            <w:r>
              <w:rPr/>
              <w:t> </w:t>
            </w:r>
          </w:p>
        </w:tc>
        <w:tc>
          <w:tcPr>
            <w:tcW w:w="9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283"/>
              <w:ind w:left="0" w:right="0" w:hanging="0"/>
              <w:jc w:val="left"/>
              <w:rPr/>
            </w:pPr>
            <w:r>
              <w:rPr/>
              <w:t> </w:t>
            </w:r>
          </w:p>
        </w:tc>
        <w:tc>
          <w:tcPr>
            <w:tcW w:w="8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PEO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927,277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400,010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9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9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927,277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Non-PEO NEOs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853,172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750,015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750,015</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853,172</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2021</w:t>
            </w:r>
          </w:p>
        </w:tc>
        <w:tc>
          <w:tcPr>
            <w:tcW w:w="8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PEO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 w:type="dxa"/>
            <w:tcBorders/>
            <w:shd w:fill="FFFFFF" w:val="clear"/>
            <w:tcMar>
              <w:bottom w:w="0" w:type="dxa"/>
            </w:tcMar>
            <w:vAlign w:val="center"/>
          </w:tcPr>
          <w:p>
            <w:pPr>
              <w:pStyle w:val="TableContents"/>
              <w:bidi w:val="0"/>
              <w:spacing w:before="0" w:after="283"/>
              <w:ind w:left="0" w:right="0" w:hanging="0"/>
              <w:jc w:val="left"/>
              <w:rPr/>
            </w:pPr>
            <w:r>
              <w:rPr/>
              <w:t> </w:t>
            </w:r>
          </w:p>
        </w:tc>
        <w:tc>
          <w:tcPr>
            <w:tcW w:w="10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ind w:left="0" w:right="0" w:hanging="0"/>
              <w:jc w:val="left"/>
              <w:rPr/>
            </w:pPr>
            <w:r>
              <w:rPr/>
              <w:t> </w:t>
            </w:r>
          </w:p>
        </w:tc>
        <w:tc>
          <w:tcPr>
            <w:tcW w:w="63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9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ind w:left="0" w:right="0" w:hanging="0"/>
              <w:jc w:val="left"/>
              <w:rPr/>
            </w:pPr>
            <w:r>
              <w:rPr/>
              <w:t> </w:t>
            </w:r>
          </w:p>
        </w:tc>
        <w:tc>
          <w:tcPr>
            <w:tcW w:w="91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6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5" w:type="dxa"/>
            <w:tcBorders/>
            <w:shd w:fill="FFFFFF" w:val="clear"/>
            <w:tcMar>
              <w:bottom w:w="0" w:type="dxa"/>
            </w:tcMar>
            <w:vAlign w:val="center"/>
          </w:tcPr>
          <w:p>
            <w:pPr>
              <w:pStyle w:val="TableContents"/>
              <w:bidi w:val="0"/>
              <w:spacing w:before="0" w:after="283"/>
              <w:ind w:left="0" w:right="0" w:hanging="0"/>
              <w:jc w:val="left"/>
              <w:rPr/>
            </w:pPr>
            <w:r>
              <w:rPr/>
              <w:t> </w:t>
            </w:r>
          </w:p>
        </w:tc>
        <w:tc>
          <w:tcPr>
            <w:tcW w:w="50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ind w:left="0" w:right="0" w:hanging="0"/>
              <w:jc w:val="left"/>
              <w:rPr/>
            </w:pPr>
            <w:r>
              <w:rPr/>
              <w:t> </w:t>
            </w:r>
          </w:p>
        </w:tc>
        <w:tc>
          <w:tcPr>
            <w:tcW w:w="94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9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1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Non-PEO NEOs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603,680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396,360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396,360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13"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3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603,680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William Casey McManemin served as Chief Executive Officer of the Partnership until his resignation from such position, effective October 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Bradley J. Ehrman served as the Partnership’s Chief Operating Officer from 2015 to 2022. Mr. Ehrman currently serves as the Chief Executive Officer of the Partnership since his appointment to such position, effective October 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360"/>
        <w:jc w:val="center"/>
        <w:rPr>
          <w:rFonts w:ascii="Times New Roman" w:hAnsi="Times New Roman"/>
          <w:caps w:val="false"/>
          <w:smallCaps w:val="false"/>
          <w:sz w:val="20"/>
          <w:u w:val="single"/>
        </w:rPr>
      </w:pPr>
      <w:r>
        <w:rPr>
          <w:rFonts w:ascii="Times New Roman" w:hAnsi="Times New Roman"/>
          <w:caps w:val="false"/>
          <w:smallCaps w:val="false"/>
          <w:sz w:val="20"/>
          <w:u w:val="single"/>
        </w:rPr>
        <w:t>CAP AND TOTAL UNITHOLDER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graph illustrates the relationship between the CAP to our PEO and the average CAP to our non-PEO NEOs and both (i) the Partnership’s cumulative total unitholder return on our common units and (ii) the Partnership’s cumulative return of an industry peer group selected by us. The industry peer group index used for comparison is the SPDR S&amp;P Oil &amp; Gas Exploration &amp; Production ETF (“XOP”). See “Pay Versus Performance” above for an explanation of the change from the prior year’s self-selected peer group. Prior to 2025, the peer group we selected was comprised of the following companies: Black Stone Minerals, L.P., Viper Energy, Inc., and Kimbell Royalty Partners, L.P. Cumulative total returns presented below assume a $100 investment on December 31, 2020. Distributions or dividends reinvested has been assumed on the payment date.</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jc w:val="center"/>
        <w:rPr/>
      </w:pPr>
      <w:r>
        <w:rPr/>
        <w:drawing>
          <wp:inline distT="0" distB="0" distL="0" distR="0">
            <wp:extent cx="6191250" cy="434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4343400"/>
                    </a:xfrm>
                    <a:prstGeom prst="rect">
                      <a:avLst/>
                    </a:prstGeom>
                  </pic:spPr>
                </pic:pic>
              </a:graphicData>
            </a:graphic>
          </wp:inline>
        </w:drawing>
      </w:r>
    </w:p>
    <w:p>
      <w:pPr>
        <w:pStyle w:val="TextBody"/>
        <w:bidi w:val="0"/>
        <w:spacing w:before="0" w:after="0"/>
        <w:jc w:val="center"/>
        <w:rPr/>
      </w:pPr>
      <w:r>
        <w:rPr/>
        <w:t> </w:t>
      </w:r>
    </w:p>
    <w:tbl>
      <w:tblPr>
        <w:tblW w:w="10205" w:type="dxa"/>
        <w:jc w:val="center"/>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1" w:type="dxa"/>
            <w:tcBorders/>
            <w:vAlign w:val="center"/>
          </w:tcPr>
          <w:p>
            <w:pPr>
              <w:pStyle w:val="TableContents"/>
              <w:bidi w:val="0"/>
              <w:spacing w:before="0" w:after="283"/>
              <w:jc w:val="both"/>
              <w:rPr>
                <w:sz w:val="20"/>
              </w:rPr>
            </w:pPr>
            <w:r>
              <w:rPr>
                <w:sz w:val="20"/>
              </w:rPr>
              <w:t>William Casey McManemin served as Chief Executive Officer of the Partnership until his resignation from such position, effective October 1, 2022.</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0" w:type="dxa"/>
            <w:tcBorders/>
            <w:vAlign w:val="center"/>
          </w:tcPr>
          <w:p>
            <w:pPr>
              <w:pStyle w:val="TableContents"/>
              <w:bidi w:val="0"/>
              <w:spacing w:before="0" w:after="283"/>
              <w:jc w:val="both"/>
              <w:rPr>
                <w:sz w:val="20"/>
              </w:rPr>
            </w:pPr>
            <w:r>
              <w:rPr>
                <w:sz w:val="20"/>
              </w:rPr>
              <w:t>Bradley J. Ehrman served as the Partnership’s Chief Operating Officer from 2015 to 2022. Mr. Ehrman currently serves as the Chief Executive Officer of the Partnership since his appointment to such position, effective October 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360"/>
        <w:jc w:val="center"/>
        <w:rPr>
          <w:rFonts w:ascii="Times New Roman" w:hAnsi="Times New Roman"/>
          <w:smallCaps/>
          <w:sz w:val="20"/>
          <w:u w:val="single"/>
        </w:rPr>
      </w:pPr>
      <w:r>
        <w:rPr>
          <w:rFonts w:ascii="Times New Roman" w:hAnsi="Times New Roman"/>
          <w:smallCaps/>
          <w:sz w:val="20"/>
          <w:u w:val="single"/>
        </w:rPr>
        <w:t>CAP VERSUS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graph illustrates the relationship between the CAP to our PEO and the average CAP to our non-PEO NEOs and the net income of the Partnership for each year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6191250" cy="3533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0" cy="3533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1" w:type="dxa"/>
            <w:tcBorders/>
            <w:vAlign w:val="center"/>
          </w:tcPr>
          <w:p>
            <w:pPr>
              <w:pStyle w:val="TableContents"/>
              <w:bidi w:val="0"/>
              <w:spacing w:before="0" w:after="283"/>
              <w:jc w:val="both"/>
              <w:rPr>
                <w:sz w:val="20"/>
              </w:rPr>
            </w:pPr>
            <w:r>
              <w:rPr>
                <w:sz w:val="20"/>
              </w:rPr>
              <w:t>William Casey McManemin served as Chief Executive Officer of the Partnership until his resignation from such position, effective October 1,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0" w:type="dxa"/>
            <w:tcBorders/>
            <w:vAlign w:val="center"/>
          </w:tcPr>
          <w:p>
            <w:pPr>
              <w:pStyle w:val="TableContents"/>
              <w:bidi w:val="0"/>
              <w:spacing w:before="0" w:after="283"/>
              <w:jc w:val="both"/>
              <w:rPr>
                <w:sz w:val="20"/>
              </w:rPr>
            </w:pPr>
            <w:r>
              <w:rPr>
                <w:sz w:val="20"/>
              </w:rPr>
              <w:t>Bradley J. Ehrman served as the Partnership’s Chief Operating Officer from 2015 to 2022. Mr. Ehrman currently serves as the Chief Executive Officer of the Partnership since his appointment to such position, effective October 1, 2022.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Because we have not used any financial or non-financial performance measures to link executive compensation actually paid to company performance, we have not included a graphical description of the relationship between CAP to our PEO and average CAP to our non-PEO NEOs and a Company-Selected Measure in accordance with Item 402(v)(5) of Regulation S-K.</w:t>
      </w:r>
    </w:p>
    <w:p>
      <w:pPr>
        <w:pStyle w:val="TextBody"/>
        <w:bidi w:val="0"/>
        <w:spacing w:before="0" w:after="283"/>
        <w:jc w:val="left"/>
        <w:rPr/>
      </w:pPr>
      <w:r>
        <w:rPr/>
        <w:t> </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u w:val="single"/>
        </w:rPr>
      </w:pPr>
      <w:r>
        <w:rPr>
          <w:rFonts w:ascii="Times New Roman" w:hAnsi="Times New Roman"/>
          <w:smallCaps/>
          <w:sz w:val="20"/>
          <w:u w:val="single"/>
        </w:rPr>
        <w:t>HEDGING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Partnership’s insider trading policy prohibits each appointed and independent Manager, officer, employee and consultant of the Partnership or any of its affiliates and each entity controlled by any of the foregoing persons from engaging in short sales of the Partnership’s securities, including a “sale against the box” (a sale with delayed delivery). In addition, it prohibits transactions in publicly traded options of the Partnership, such as puts, calls and other derivative securities, on an exchange or in any other organized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mallCaps/>
          <w:sz w:val="20"/>
          <w:u w:val="single"/>
        </w:rPr>
      </w:pPr>
      <w:r>
        <w:rPr>
          <w:rFonts w:ascii="Times New Roman" w:hAnsi="Times New Roman"/>
          <w:smallCaps/>
          <w:sz w:val="20"/>
          <w:u w:val="single"/>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Appointed Managers receive no remuneration for serving on the Board of Managers, but each member of the Advisory Committee and the Contributor Appointed Manager received an annual retainer fee of $35,000 during 2025, or if the member did not serve the entire year, the pro-rated amount for time served during the period. In addition, members of the Advisory Committee and the Contributor Appointed Manager receive $1,500 for each meeting of any special committees. In 2025, three special committee meetings were held.</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u w:val="single"/>
        </w:rPr>
      </w:pPr>
      <w:r>
        <w:rPr>
          <w:rFonts w:ascii="Times New Roman" w:hAnsi="Times New Roman"/>
          <w:caps w:val="false"/>
          <w:smallCaps w:val="false"/>
          <w:sz w:val="20"/>
          <w:u w:val="single"/>
        </w:rPr>
        <w:t>DIRECTOR COMPENSATION FOR 2025</w:t>
      </w:r>
    </w:p>
    <w:p>
      <w:pPr>
        <w:pStyle w:val="TextBody"/>
        <w:bidi w:val="0"/>
        <w:spacing w:before="0" w:after="0"/>
        <w:ind w:left="0" w:right="0" w:hanging="0"/>
        <w:jc w:val="left"/>
        <w:rPr>
          <w:caps w:val="false"/>
          <w:smallCaps w:val="false"/>
        </w:rPr>
      </w:pPr>
      <w:r>
        <w:rPr>
          <w:caps w:val="false"/>
          <w:smallCaps w:val="false"/>
        </w:rPr>
        <w:t> </w:t>
      </w:r>
    </w:p>
    <w:tbl>
      <w:tblPr>
        <w:tblW w:w="4909" w:type="dxa"/>
        <w:jc w:val="left"/>
        <w:tblInd w:w="0" w:type="dxa"/>
        <w:tblLayout w:type="fixed"/>
        <w:tblCellMar>
          <w:top w:w="0" w:type="dxa"/>
          <w:left w:w="0" w:type="dxa"/>
          <w:bottom w:w="28" w:type="dxa"/>
          <w:right w:w="0" w:type="dxa"/>
        </w:tblCellMar>
      </w:tblPr>
      <w:tblGrid>
        <w:gridCol w:w="2015"/>
        <w:gridCol w:w="60"/>
        <w:gridCol w:w="115"/>
        <w:gridCol w:w="1134"/>
        <w:gridCol w:w="60"/>
        <w:gridCol w:w="60"/>
        <w:gridCol w:w="265"/>
        <w:gridCol w:w="355"/>
        <w:gridCol w:w="60"/>
        <w:gridCol w:w="60"/>
        <w:gridCol w:w="60"/>
        <w:gridCol w:w="590"/>
        <w:gridCol w:w="75"/>
      </w:tblGrid>
      <w:tr>
        <w:trPr/>
        <w:tc>
          <w:tcPr>
            <w:tcW w:w="201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Fees Earned</w:t>
              <w:br/>
              <w:t>or Paid in Cash</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w:t>
              <w:br/>
              <w:t>Awards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Allen D. Lassiter</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134"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39,500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35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39,500</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 (“Bill”) Russell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5" w:type="dxa"/>
            <w:tcBorders/>
            <w:shd w:fill="FFFFFF" w:val="clear"/>
            <w:tcMar>
              <w:bottom w:w="0" w:type="dxa"/>
            </w:tcMar>
            <w:vAlign w:val="center"/>
          </w:tcPr>
          <w:p>
            <w:pPr>
              <w:pStyle w:val="TableContents"/>
              <w:bidi w:val="0"/>
              <w:spacing w:before="0" w:after="283"/>
              <w:ind w:left="0" w:right="0" w:hanging="0"/>
              <w:jc w:val="left"/>
              <w:rPr/>
            </w:pPr>
            <w:r>
              <w:rPr/>
              <w:t> </w:t>
            </w:r>
          </w:p>
        </w:tc>
        <w:tc>
          <w:tcPr>
            <w:tcW w:w="1134"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35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36,500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Ronald P. Trout (2)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134"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12,956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35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12,956</w:t>
            </w:r>
          </w:p>
        </w:tc>
        <w:tc>
          <w:tcPr>
            <w:tcW w:w="75" w:type="dxa"/>
            <w:tcBorders/>
            <w:shd w:fill="CCEEFF" w:val="clear"/>
            <w:tcMar>
              <w:bottom w:w="0" w:type="dxa"/>
            </w:tcMar>
            <w:vAlign w:val="center"/>
          </w:tcPr>
          <w:p>
            <w:pPr>
              <w:pStyle w:val="TableContents"/>
              <w:bidi w:val="0"/>
              <w:spacing w:before="0" w:after="283"/>
              <w:jc w:val="center"/>
              <w:rPr/>
            </w:pPr>
            <w:r>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Sarah N. Wariner (3)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5" w:type="dxa"/>
            <w:tcBorders/>
            <w:shd w:fill="FFFFFF" w:val="clear"/>
            <w:tcMar>
              <w:bottom w:w="0" w:type="dxa"/>
            </w:tcMar>
            <w:vAlign w:val="center"/>
          </w:tcPr>
          <w:p>
            <w:pPr>
              <w:pStyle w:val="TableContents"/>
              <w:bidi w:val="0"/>
              <w:spacing w:before="0" w:after="283"/>
              <w:ind w:left="0" w:right="0" w:hanging="0"/>
              <w:jc w:val="left"/>
              <w:rPr/>
            </w:pPr>
            <w:r>
              <w:rPr/>
              <w:t> </w:t>
            </w:r>
          </w:p>
        </w:tc>
        <w:tc>
          <w:tcPr>
            <w:tcW w:w="1134"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26,544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65" w:type="dxa"/>
            <w:tcBorders/>
            <w:shd w:fill="FFFFFF" w:val="clear"/>
            <w:tcMar>
              <w:bottom w:w="0" w:type="dxa"/>
            </w:tcMar>
            <w:vAlign w:val="center"/>
          </w:tcPr>
          <w:p>
            <w:pPr>
              <w:pStyle w:val="TableContents"/>
              <w:bidi w:val="0"/>
              <w:spacing w:before="0" w:after="283"/>
              <w:ind w:left="0" w:right="0" w:hanging="0"/>
              <w:jc w:val="left"/>
              <w:rPr/>
            </w:pPr>
            <w:r>
              <w:rPr/>
              <w:t> </w:t>
            </w:r>
          </w:p>
        </w:tc>
        <w:tc>
          <w:tcPr>
            <w:tcW w:w="355"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26,544</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 Damon Box</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5" w:type="dxa"/>
            <w:tcBorders/>
            <w:shd w:fill="CCEEFF" w:val="clear"/>
            <w:tcMar>
              <w:bottom w:w="0" w:type="dxa"/>
            </w:tcMar>
            <w:vAlign w:val="center"/>
          </w:tcPr>
          <w:p>
            <w:pPr>
              <w:pStyle w:val="TableContents"/>
              <w:bidi w:val="0"/>
              <w:spacing w:before="0" w:after="283"/>
              <w:ind w:left="0" w:right="0" w:hanging="0"/>
              <w:jc w:val="left"/>
              <w:rPr/>
            </w:pPr>
            <w:r>
              <w:rPr/>
              <w:t> </w:t>
            </w:r>
          </w:p>
        </w:tc>
        <w:tc>
          <w:tcPr>
            <w:tcW w:w="1134"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39,500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65" w:type="dxa"/>
            <w:tcBorders/>
            <w:shd w:fill="CCEEFF" w:val="clear"/>
            <w:tcMar>
              <w:bottom w:w="0" w:type="dxa"/>
            </w:tcMar>
            <w:vAlign w:val="center"/>
          </w:tcPr>
          <w:p>
            <w:pPr>
              <w:pStyle w:val="TableContents"/>
              <w:bidi w:val="0"/>
              <w:spacing w:before="0" w:after="283"/>
              <w:ind w:left="0" w:right="0" w:hanging="0"/>
              <w:jc w:val="left"/>
              <w:rPr/>
            </w:pPr>
            <w:r>
              <w:rPr/>
              <w:t> </w:t>
            </w:r>
          </w:p>
        </w:tc>
        <w:tc>
          <w:tcPr>
            <w:tcW w:w="355"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39,500</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8" w:type="dxa"/>
            <w:tcBorders/>
            <w:vAlign w:val="center"/>
          </w:tcPr>
          <w:p>
            <w:pPr>
              <w:pStyle w:val="TableContents"/>
              <w:bidi w:val="0"/>
              <w:spacing w:before="0" w:after="283"/>
              <w:jc w:val="both"/>
              <w:rPr>
                <w:sz w:val="20"/>
              </w:rPr>
            </w:pPr>
            <w:r>
              <w:rPr>
                <w:sz w:val="20"/>
              </w:rPr>
              <w:t>Mr. Russell passed away in October 2025. Mr. Russell’s Annual Retainer Fee was adjusted to reflect the time period in which Mr. Russell served as a Manager during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3" w:type="dxa"/>
            <w:tcBorders/>
            <w:vAlign w:val="center"/>
          </w:tcPr>
          <w:p>
            <w:pPr>
              <w:pStyle w:val="TableContents"/>
              <w:bidi w:val="0"/>
              <w:spacing w:before="0" w:after="283"/>
              <w:jc w:val="both"/>
              <w:rPr>
                <w:sz w:val="20"/>
              </w:rPr>
            </w:pPr>
            <w:r>
              <w:rPr>
                <w:sz w:val="20"/>
              </w:rPr>
              <w:t>In March 2025, Mr. Trout informed the Board of Managers of his decision not to stand for re-election at the 2025 Annual Meeting. Mr. Trout’s Annual Retainer Fee was adjusted to reflect the time period in which Mr. Trout served as a Manager during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83" w:type="dxa"/>
            <w:tcBorders/>
            <w:vAlign w:val="center"/>
          </w:tcPr>
          <w:p>
            <w:pPr>
              <w:pStyle w:val="TableContents"/>
              <w:bidi w:val="0"/>
              <w:spacing w:before="0" w:after="283"/>
              <w:jc w:val="both"/>
              <w:rPr>
                <w:sz w:val="20"/>
              </w:rPr>
            </w:pPr>
            <w:r>
              <w:rPr>
                <w:sz w:val="20"/>
              </w:rPr>
              <w:t>Ms. Wariner was elected at the May 2025 Annual Meeting. Ms. Wariner’s Annual Retainer Fee was adjusted to reflect the time period in which Ms. Wariner served as a Manager during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COMPENSATION COMMITTEE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Committee has reviewed and discussed the Compensation Discussion and Analysis with management and based on that review and discussion recommends to the Board of Managers its inclusion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April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 Damon Box</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Allen D. Lassiter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Sarah N. Wariner</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0" w:right="0" w:firstLine="720"/>
        <w:jc w:val="both"/>
        <w:rPr>
          <w:rFonts w:ascii="Times New Roman" w:hAnsi="Times New Roman"/>
          <w:caps w:val="false"/>
          <w:smallCaps w:val="false"/>
          <w:sz w:val="20"/>
        </w:rPr>
      </w:pPr>
      <w:r>
        <w:rPr>
          <w:rFonts w:ascii="Times New Roman" w:hAnsi="Times New Roman"/>
          <w:caps w:val="false"/>
          <w:smallCaps w:val="false"/>
          <w:sz w:val="20"/>
        </w:rPr>
        <w:t>None of our executive officers serve as a member of the board or compensation committee of any entity that has one or more of its executive officers serving as a member of the Board of Managers or the Advisory Committee.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REPORT OF THE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members of the Audit Committee of the Board of Managers, we are responsible for helping to ensure the reliability of the Partnership’s consolidated financial statements. In keeping with this goal, the Board of Managers has adopted a written charter for the Audit Committee to follow. The Audit Committee reviewed and reassessed the charter’s adequacy on February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Independence of Audit Committee Members</w:t>
      </w:r>
      <w:r>
        <w:rPr>
          <w:rFonts w:ascii="Times New Roman" w:hAnsi="Times New Roman"/>
          <w:caps w:val="false"/>
          <w:smallCaps w:val="false"/>
          <w:sz w:val="20"/>
        </w:rPr>
        <w:t>. All of the members of the Audit Committee are independent as defined by Rule 5605(a)(2) of the NASDAQ Marketplace Rules and the most recent interpretations of those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Review and Discussions</w:t>
      </w:r>
      <w:r>
        <w:rPr>
          <w:rFonts w:ascii="Times New Roman" w:hAnsi="Times New Roman"/>
          <w:caps w:val="false"/>
          <w:smallCaps w:val="false"/>
          <w:sz w:val="20"/>
        </w:rPr>
        <w:t>. The Audit Committee has reviewed and discussed the Partnership’s audited consolidated financial statements with management. It has also discussed with the independent auditors the matters required to be discussed by the applicable requirements of the Public Company Accounting Oversight Board. Additionally, the Audit Committee has received the written disclosures and the letter from the independent accountants at Grant Thornton LLP, as required by the Public Company Accounting Oversight Board Ethics and Independence Rule 3526 (Communication With Audit Committees Concerning Independence), and has discussed with the independent accountants their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Recommendation to Include Audited Consolidated Financial Statements in Annual Report</w:t>
      </w:r>
      <w:r>
        <w:rPr>
          <w:rFonts w:ascii="Times New Roman" w:hAnsi="Times New Roman"/>
          <w:caps w:val="false"/>
          <w:smallCaps w:val="false"/>
          <w:sz w:val="20"/>
        </w:rPr>
        <w:t>. Based on the Audit Committee’s discussions with management and the independent accountants and its review of the representation of management and the report of the independent accountants to the Audit Committee, the Audit Committee recommended that the Board of Managers include the audited consolidated financial statements in the Partnership’s Annual Report on Form 10-K for the year ended December 31, 2025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February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Allen D. Lassiter</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Troy Sturrock</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Sarah N. Wariner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CERTAIN RELATIONSHIPS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2025, the Partnership and our wholly-owned subsidiaries reimbursed certain direct and indirect expenses to the operating partnership and our general partner. The reimbursements were made pursuant to the Partnership Agreement and Administrative Services Agreement or office lease agreement between the operating partnership and Maecenas Minerals, L.L.P., a wholly-owned subsidiary of the Partnership. No management fees or any other type of compensation is paid by or to any related party, other than compensation reported pursuant to Item 402 of Regulation S-K.</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Reimbursement of Our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general partner was reimbursed $9,950,808 and $11,145,101 for expenses incurred in 2024 and 2025, respectively, pursuant to our Partnership Agreement. Our general partner is not compensated for services provided in acting as our general partner. However, we reimburse our general partner on a monthly basis for all expenses incurred or payments made on our behalf, and all other necessary or appropriate expenses allocable to us. Such expenses include both direct expenses and management expenses. Pursuant to our Partnership Agreement, direct expenses include:</w:t>
      </w:r>
    </w:p>
    <w:p>
      <w:pPr>
        <w:pStyle w:val="TextBody"/>
        <w:bidi w:val="0"/>
        <w:spacing w:before="0" w:after="0"/>
        <w:ind w:left="160" w:right="0" w:firstLine="72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and expenses, such as audit, tax, legal and engineering costs;</w:t>
            </w:r>
          </w:p>
        </w:tc>
      </w:tr>
    </w:tbl>
    <w:p>
      <w:pPr>
        <w:pStyle w:val="TextBody"/>
        <w:bidi w:val="0"/>
        <w:spacing w:before="0" w:after="0"/>
        <w:ind w:left="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
        <w:gridCol w:w="170"/>
        <w:gridCol w:w="24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fees and expenses;</w:t>
            </w:r>
          </w:p>
        </w:tc>
      </w:tr>
    </w:tbl>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70"/>
        <w:gridCol w:w="14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4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 valorem taxes;</w:t>
            </w:r>
          </w:p>
        </w:tc>
      </w:tr>
    </w:tbl>
    <w:p>
      <w:pPr>
        <w:pStyle w:val="TextBody"/>
        <w:bidi w:val="0"/>
        <w:spacing w:before="0" w:after="0"/>
        <w:ind w:left="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60"/>
        <w:gridCol w:w="170"/>
        <w:gridCol w:w="13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taxes;</w:t>
            </w:r>
          </w:p>
        </w:tc>
      </w:tr>
    </w:tbl>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fees and expenses of independent managers of our general partner and its general partner;</w:t>
            </w:r>
          </w:p>
        </w:tc>
      </w:tr>
    </w:tbl>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premiums for officers’ and managers’ liability insurance; and</w:t>
            </w:r>
          </w:p>
        </w:tc>
      </w:tr>
    </w:tbl>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of the General Partner related to professional and regulatory matters.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expenses are expenses of the general partner and its affiliates incurred on our behalf and include:</w:t>
      </w:r>
    </w:p>
    <w:p>
      <w:pPr>
        <w:pStyle w:val="TextBody"/>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170"/>
        <w:gridCol w:w="96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rent, wages, salaries and the cost of employee benefit plans provided to employees that are properly allocable to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necessary or appropriate expenses allocable to us, but do not include items classified as direct expenses or production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a result of the limitation on management expenses discussed below, recovery of additional expenses may occur by changing the classification of the expenses only to the extent that (i) a portion of management expense is reduced by shifting certain costs to direct expenses or production cost, (ii) such classification change impacts a period when management expense could otherwise exceed the 5% cap and (iii) such excess above the cap cannot be recovered in future or past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reimbursements to our general partner of management expenses (excluding overhead expenses included in production costs that are deducted in determining net profits interests) during any fiscal year are limited to an amount not greater than 5% of the sum of our distributions to our partners for that fiscal year, adjusted for changes in cash reserves, plus expenses paid by us for that year for direct and management expenses and production costs which are capital in nature and charged against the net profits interests, and increases in taxes and regulatory compliance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the extent that actual reimbursement for management expenses in any fiscal year is less than five percent (5%) of this sum, our reimbursement to our general partner may exceed the 5% limitation by the amount of that difference at any time during the succeeding three fiscal years. If reimbursement to our general partner was limited by the 5% limitation during the preceding three fiscal years, the amount by which the management expenses are less than the 5% limitation in the current year may be used to permit our general partner to recoup the deficit from the preceding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Partnership Agreement generally may not be amended to increase the 5% limitation on the reimbursement of management expenses unless approved by a majority of the Partnership’s Unitholders.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Reimbursement to the Operating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part of the total reimbursements to the general partner in 2024 and 2025, the operating partnership was reimbursed an aggregate of $120,000 from Maecenas Minerals, L.L.P., our wholly-owned subsidiary, pursuant to an Administrative Service Agreement or office lease agreement. The operating partnership provided the wholly-owned subsidiary services related to accounting, internal controls, management of data processing systems, preparation of all federal and state tax reports, service as paymaster, preparation of periodic financial statements and banking and other financial relationships. The operating partnership was reimbursed for the payment of all direct and indirect costs and expenses incurred in the performance of the services provided, including without limitation, (i) attributable telephone, office rent and other office expenses, (ii) attributable salaries and other compensation expenses of employees, officers and directors, (iii) other attributable administrative expenses, (iv) travel expenses, (v) legal and accounting costs and expenses and (vi) expenses incurred in providing or obtaining such other professional, technical, administrative services and advice as deemed necessary or desirable. Reimbursements made pursuant to the Administrative Service Agreement were not also made pursuant to the Partnership Agreement.</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Review, Approval or Ratification of Transactions with Related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Whenever any potential conflict of interest exists or arises between our general partner or any of its affiliates and us or any of our partners, our general partner resolves that conflict. Our Partnership Agreement requires our general partner to seek approval of a majority of the members of the Advisory Committee of the general partner of our general partner as to a proposed resolution of the conflict. In addition to approval by the Advisory Committee the resolution of the conflict of interest must also be fair and reasonable to us. Any resolution of a conflict of interest shall also be conclusively deemed fair and reasonable to us if such resolution is:</w:t>
      </w:r>
    </w:p>
    <w:p>
      <w:pPr>
        <w:pStyle w:val="TextBody"/>
        <w:bidi w:val="0"/>
        <w:spacing w:before="0" w:after="0"/>
        <w:ind w:left="0" w:right="0" w:hanging="0"/>
        <w:jc w:val="left"/>
        <w:rPr/>
      </w:pPr>
      <w:r>
        <w:rPr/>
        <w:t> </w:t>
      </w:r>
    </w:p>
    <w:tbl>
      <w:tblPr>
        <w:tblW w:w="9490" w:type="dxa"/>
        <w:jc w:val="left"/>
        <w:tblInd w:w="0" w:type="dxa"/>
        <w:tblLayout w:type="fixed"/>
        <w:tblCellMar>
          <w:top w:w="0" w:type="dxa"/>
          <w:left w:w="0" w:type="dxa"/>
          <w:bottom w:w="0" w:type="dxa"/>
          <w:right w:w="0" w:type="dxa"/>
        </w:tblCellMar>
      </w:tblPr>
      <w:tblGrid>
        <w:gridCol w:w="60"/>
        <w:gridCol w:w="170"/>
        <w:gridCol w:w="92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terms no less favorable to us than those generally being provided to or available from unrelated third parties,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fair to us, taking into account the totality of the relationships between the parties involved (including other transactions that may be particularly favorable or advantageous to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general partner, or its general partner’s Advisory Committee if its approval is sought, is authorized, in connection with its determination of what is fair and reasonable to us, and in connection with its resolution of any conflict of interest, to consider: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relative interests of any party to such conflict, agreement, transaction or situation and the benefits and burdens relating to such interest,</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70"/>
        <w:gridCol w:w="89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customary or accepted industry practices and any customary or historical dealings with a particular person,</w:t>
            </w:r>
          </w:p>
        </w:tc>
      </w:tr>
    </w:tbl>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applicable generally accepted accounting practices or principles,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such additional factors as our general partner’s, or its general partner’s Advisory Committee, determines in its sole discretion to be relevant, reasonable or appropriate under the circumstances.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Whenever our Partnership Agreement requires that a particular transaction, arrangement or resolution of a conflict of interest be fair and reasonable, the fair and reasonable nature of that transaction, arrangement, or resolution shall be considered in the context of all similar or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EXECUTIVE OFFICERS AND MEMBERS OF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Bradley J. Ehrman</w:t>
      </w:r>
      <w:r>
        <w:rPr>
          <w:rFonts w:ascii="Times New Roman" w:hAnsi="Times New Roman"/>
          <w:caps w:val="false"/>
          <w:smallCaps w:val="false"/>
          <w:sz w:val="20"/>
        </w:rPr>
        <w:t>, age 49, has served as Chief Executive Officer of Dorchester Minerals Management GP LLC since October 2025 and of Dorchester Minerals, L.P. since October 2022. He has also served as Chief Operating Officer of Dorchester Minerals Management GP LLC since May 2015. He previously served as the Chief Operating Officer of Dorchester Minerals, L.P. from May 2015 to October 2022 and the Engineering Manager of Dorchester Minerals Operating LP from 2004 to 2011, Vice President of Operations from 2011 to May 2015 and Chief Operating Officer from May 2015 through the present time. He received a Bachelor of Science degree in Petroleum Engineering from the University of Alberta and received his MBA from the Jones Graduate School of Management at Rice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Leslie A. Moriyama</w:t>
      </w:r>
      <w:r>
        <w:rPr>
          <w:rFonts w:ascii="Times New Roman" w:hAnsi="Times New Roman"/>
          <w:caps w:val="false"/>
          <w:smallCaps w:val="false"/>
          <w:sz w:val="20"/>
        </w:rPr>
        <w:t>, age 48, has served as Chief Financial Officer of Dorchester Minerals Management GP LLC and Dorchester Minerals, L.P. since May 2015. She received a Bachelor of Commerce in Accounting and a Bachelor of Arts in Economics from the University of Calgary and is a Chartered Accountant. She previously served as a Director of Capital Markets and Accounting Advisory Services at PricewaterhouseCoopers LLC from 2014 to 2015 and as Manager-Financial Reporting and Director-Accounting of the Mid-Continent Business Unit of Encana Oil &amp; Gas (USA) Inc. from 2008 to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Robert C. Vaughn</w:t>
      </w:r>
      <w:r>
        <w:rPr>
          <w:rFonts w:ascii="Times New Roman" w:hAnsi="Times New Roman"/>
          <w:caps w:val="false"/>
          <w:smallCaps w:val="false"/>
          <w:sz w:val="20"/>
        </w:rPr>
        <w:t>, age 70, has served as the Chairman of the Board of Managers of Dorchester Minerals Management GP LLC since April 2026. Previously, he served as the Interim Chairman of the Board since October 2025 and has been a Manager since 2001. Mr. Vaughn has served in various capacities with Vaughn Petroleum (DMLP), LLC and affiliated entities since 1979, including as Chairman, President and Chief Executive Officer. He co-founded Republic Royalty Company in 1993 and Dorchester Minerals, L.P. in 2003. He received a Bachelor of Business Administration from the University of Texas at Austin. He currently serves on the Board of Trustees of the Culver Educational Foundation, and the Board of Visitors of the McDonald Observatory and Department of Astronomy of the University of Texas at Austin. Mr. Vaughn also is a co-founder and serves on the Advisory Board of High River Resources, serves on the Board of Directors of the Perot Museum of Nature and Science, and is a member of the Texas Transportation Commission. The members of the general partner of our general partner have determined that Mr. Vaughn’s education and experience as a founder and executive of the Partnership and of other companies within our industry provides our Board of Managers with considerable knowledge and understanding of strategic matters and qualifies him to continue to serve on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H.C. Allen, Jr</w:t>
      </w:r>
      <w:r>
        <w:rPr>
          <w:rFonts w:ascii="Times New Roman" w:hAnsi="Times New Roman"/>
          <w:caps w:val="false"/>
          <w:smallCaps w:val="false"/>
          <w:sz w:val="20"/>
        </w:rPr>
        <w:t>., age 87, has served as a manager of Dorchester Minerals Management GP LLC since 2001 and as Chief Financial Officer of Dorchester Minerals Operating GP LLC and Dorchester Minerals, L.P. from 2001 to May 2015. He co-founded SASI Minerals Company, Republic Royalty Company, Spinnaker Royalty Company, L.P. and CERES Resource Partners, LP with Mr. McManemin in 1988, 1993, 1996 and 1998, respectively. He received his Bachelor of Business Administration degree from the University of Texas and his Master of Business Administration degree from the University of North Texas. The members of the general partner of our general partner have determined that Mr. Allen’s business and financial experience with the Partnership and other companies within our industry and his extensive history of managing the majority of the properties held by the Partnership qualifies him to continue to serve on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F. Damon Box</w:t>
      </w:r>
      <w:r>
        <w:rPr>
          <w:rFonts w:ascii="Times New Roman" w:hAnsi="Times New Roman"/>
          <w:caps w:val="false"/>
          <w:smallCaps w:val="false"/>
          <w:sz w:val="20"/>
        </w:rPr>
        <w:t>, age 48, has served as a manager of Dorchester Minerals Management GP LLC since October 2024. Mr. Box has over 25 years of experience in corporate finance, mergers &amp; acquisitions, and investing in the energy sector. He has served as a Partner of Carrollton Mineral Partners, LP since 2020. Since 2022, he has also served as Chief Financial Officer to various early-stage companies in the renewable biomass sector. Mr. Box previously served as a Managing Director in the energy investment banking group of Piper Sandler Companies (formerly Simmons &amp; Company International) from 2006 to 2009 and from 2011 to 2020. From 2010 to 2011, he served as Director of Mergers &amp; Acquisitions at Halliburton Company. Mr. Box received a Bachelor of Business Administration with Honors from the University of Texas at Austin. The members of the general partner of our general partner have determined that Mr. Box’s education and experience as an executive of other companies within our industry provides our Board of Managers with considerable knowledge and understanding of strategic matters and qualifies him to serve on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Lesley R. Carver</w:t>
      </w:r>
      <w:r>
        <w:rPr>
          <w:rFonts w:ascii="Times New Roman" w:hAnsi="Times New Roman"/>
          <w:caps w:val="false"/>
          <w:smallCaps w:val="false"/>
          <w:sz w:val="20"/>
        </w:rPr>
        <w:t>, age 57, has been a manager of Dorchester Minerals Management GP LLC since January 2024. She received a Bachelor of Science degree in Electrical Engineering from Texas Tech University. She currently serves as the Senior Director of Finance and Systems of Cobalt Management Services and provides financial services to the Board of Directors of Ally’s Wish, a non-profit organization. Prior to her role at Cobalt Management, Ms. Carver served on the Executive Board – Finance at Studio B, a non-profit organization and has held various engineering, operational and project management roles in the telecommunications industry. The members of the general partner of our general partner have determined that Ms. Carver’s financial and engineering experience provides our Board of Managers with considerable knowledge and understanding of the Partnership and qualifies her to serve on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Albert G. Nance, III</w:t>
      </w:r>
      <w:r>
        <w:rPr>
          <w:rFonts w:ascii="Times New Roman" w:hAnsi="Times New Roman"/>
          <w:caps w:val="false"/>
          <w:smallCaps w:val="false"/>
          <w:sz w:val="20"/>
        </w:rPr>
        <w:t>, age 61, has served as a manager of Dorchester Minerals Management GP LLC since January 1, 2026. Mr. Nance earned a Bachelor of Arts from the University of Texas at Austin. He currently serves as a Partner and Venture Manager of Garg Oil, a Texas Joint Venture which is a privately owned mineral partnership with a focus on Texas and Oklahoma. Mr. Nance was previously an officer and principal of Tri-C Resources, an independent oil and gas exploration company where he served as Vice President of Land. The members of the general partner of our general partner have determined that Mr. Nance’s education and experience as an executive of other companies within our industry provides our Board of Managers with considerable knowledge and understanding of strategic matters and qualifies him to serve on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Martha P. Rochelle</w:t>
      </w:r>
      <w:r>
        <w:rPr>
          <w:rFonts w:ascii="Times New Roman" w:hAnsi="Times New Roman"/>
          <w:caps w:val="false"/>
          <w:smallCaps w:val="false"/>
          <w:sz w:val="20"/>
        </w:rPr>
        <w:t>, age 73, has served as a manager of Dorchester Minerals Management GP LLC since 2013. Ms. Rochelle earned a Bachelor of Arts with High Honors from the University of Texas and a Juris Doctor from Southern Methodist University School of Law. Following law school, she clerked for a federal judge and then entered private practice. For a period of more than twenty years, her practice focused on corporate and tax-exempt finance. Ms. Rochelle continues to serve as an advisor to tax-exempt entities. The members of the general partner of our general partner have determined that Ms. Rochelle’s extensive legal experience in corporate and finance matters and other business experience qualifies her to continue to serve on the Board of Managers.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William Casey McManemin</w:t>
      </w:r>
      <w:r>
        <w:rPr>
          <w:rFonts w:ascii="Times New Roman" w:hAnsi="Times New Roman"/>
          <w:caps w:val="false"/>
          <w:smallCaps w:val="false"/>
          <w:sz w:val="20"/>
        </w:rPr>
        <w:t>, age 65, served as Chairman of the Board of Managers from May 2015 until his resignation from such position in October 2025 and as a member of the Board of Managers until December 31, 2025. He also has served as Chief Executive Officer and as a manager of Dorchester Minerals Management GP LLC and Chief Executive Officer of Dorchester Minerals Operating GP LLC until his retirement in 2025. He previously served as Chief Executive Officer of Dorchester Minerals, L.P. until October 1, 2022. He received a Bachelor of Science degree in Petroleum Engineering from Texas A&amp;M University and is a Registered Professional Engineer in the State of Texas.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BOARD OF MANAGERS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considering whether to recommend any candidate for inclusion in the Board’s slate of recommended nominees, the members of the general partner of our general partner consider criteria such as the candidate’s integrity, business acumen, age, experience, commitment, diligence, conflicts of interest and the ability to act in the interests of all limited partners. We seek nominees with a diversity of experience, professions, skills, geographic representation and backgrounds. The members of the general partner of our general partner do not assign specific weights to particular criteria and no particular criterion is necessarily applicable to all prospective nominees. We believe that the backgrounds and qualifications of the managers, considered as a group, should provide a significant composite mix of experience, knowledge and abilities that will allow the Board of Managers to fulfill its responsibilities.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ELECTION OF MANAGERS TO THE BOARD OF MANAGERS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WHO WILL BE APPOINTED TO THE ADVISORY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NO. 1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Unitholders are entitled to elect three managers to the Board of Managers who will also be appointed to serve on the Advisory Committee. Nominations for the election of these managers listed below were made by the members of the general partner of our general partner and approved by its Board of Managers. If elected, all nominees are expected to serve until the 2027 Annual Meeting of Limited Partners or until their successors are duly elected.</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smallCaps/>
          <w:sz w:val="20"/>
        </w:rPr>
        <w:t>NOMINEES FOR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Allen D. Lassiter, </w:t>
      </w:r>
      <w:r>
        <w:rPr>
          <w:rFonts w:ascii="Times New Roman" w:hAnsi="Times New Roman"/>
          <w:caps w:val="false"/>
          <w:smallCaps w:val="false"/>
          <w:sz w:val="20"/>
        </w:rPr>
        <w:t>age 77, has served as a manager and an Advisory Committee Member of Dorchester Minerals Management GP LLC since November 2017. He served as Vice Chairman - Investment Banking from 2016 to 2017 and as Managing Director and Energy Group Head from 1994 to 2016 at Raymond James and Associates, Inc., an investment banking firm. Mr. Lassiter previously served as Managing Director and Group Head of Southwest Investment Banking for Kemper Securities, Inc. from 1992 to 1994 and in various positions, including Managing Director and Energy Investment Banking Group Co-Head at Smith Barney, Inc. from 1973 to 1992. Mr. Lassiter received a Bachelor of Arts degree from the University of North Carolina and a Master of Business Administration degree from the Wharton School of Finance at the University of Pennsylvania. The members of the general partner of our general partner have determined that Mr. Lassiter’s extensive experience in financial advisory work with, and financial transactions for, companies engaged in the oil and gas industry, qualify him to continue to serve on our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A. Troy Sturrock</w:t>
      </w:r>
      <w:r>
        <w:rPr>
          <w:rFonts w:ascii="Times New Roman" w:hAnsi="Times New Roman"/>
          <w:caps w:val="false"/>
          <w:smallCaps w:val="false"/>
          <w:sz w:val="20"/>
        </w:rPr>
        <w:t>, age 55, has served as a manager and Advisory Committee Member of Dorchester Minerals Management GP LLC since February 2026. Mr. Sturrock has served as the Group Senior Vice President, Controller and Principal Accounting Officer of LE GP, LLC, the general partner of Energy Transfer LP, since September 2022. Mr. Sturrock previously served as Senior Vice President, Controller and Principal Accounting Officer of various affiliated companies of Energy Transfer since June 2015. Mr. Sturrock is a Certified Public Accountant. The members of the general partner of our general partner have determined that Mr. Sturrock’s education and experience as an executive of other companies within our industry provides our Board of Managers with considerable knowledge and understanding of strategic and financial matters and qualifies him to serve on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Sarah N. Wariner,</w:t>
      </w:r>
      <w:r>
        <w:rPr>
          <w:rFonts w:ascii="Times New Roman" w:hAnsi="Times New Roman"/>
          <w:caps w:val="false"/>
          <w:smallCaps w:val="false"/>
          <w:sz w:val="20"/>
        </w:rPr>
        <w:t> age 45, currently serves as the Deputy General Counsel and Senior Vice President, Global Litigation at the Jacobs Engineering Group. Prior to her current role, Ms. Wariner was employed at the Jacobs Engineering Group as Deputy General Counsel and Vice President, Global Litigation from 2022 until her promotion in 2025. Before joining Jacobs Engineering Group, Ms. Wariner served as Assistant General Counsel and Vice President at JP Morgan Chase &amp; Co. from 2021 to 2022. Ms. Wariner was a Member at the law firm Clark Hill PLC from 2018-2021 and practiced at its predecessor firm between 2012 to 2018. Ms. Wariner received a Bachelor of Business Administration from Baylor University and a Juris Doctorate from the Wake Forest University School of Law. The members of the general partner of our general partner have determined that Ms. Wariner’s extensive experience advising on board matters and financial and accounting background brings considerable financial experience to the Board of Managers and qualifies her to serve on our Board of Managers.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BOARD OF MANAGERS RECOMMENDS THAT UNITHOLDERS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EACH OF THE BOARD OF MANAGERS</w:t>
      </w:r>
      <w:r>
        <w:rPr>
          <w:rFonts w:ascii="Times New Roman" w:hAnsi="Times New Roman"/>
          <w:caps w:val="false"/>
          <w:smallCaps w:val="false"/>
          <w:sz w:val="20"/>
        </w:rPr>
        <w:t xml:space="preserve">’ </w:t>
      </w:r>
      <w:r>
        <w:rPr>
          <w:rFonts w:ascii="Times New Roman" w:hAnsi="Times New Roman"/>
          <w:b/>
          <w:caps w:val="false"/>
          <w:smallCaps w:val="false"/>
          <w:sz w:val="20"/>
        </w:rPr>
        <w:t>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APPOINTMENT OF INDEPENDENT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NO. 2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recommends the approval of the appointment of Grant Thornton LLP as our independent registered public accounting firm for the year ending December 31, 2026. Grant Thornton LLP has been the independent public registered accounting firm of one of our predecessors, Dorchester Hugoton, Ltd., since 1998 and the Partnership’s independent registered public accounting firm since 2003.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Representatives of Grant Thornton LLP are expected to be present at the Annual Meeting of Unitholders and will be given the opportunity to make a statement, if they desire to do so, and to respond to appropriate questions. Although Unitholder approval of the appointment of Grant Thornton LLP is not required, the Board believes that it is appropriate to seek Unitholder approval of this appointment. If the Unitholders fail to approve the appointment, the Advisory Committee and the Board of Managers will consider whether or not to retain Grant Thornton LLP. Even if the appointment is approved, the Board of Managers, at its discretion, may direct the appointment of a different independent registered accounting firm at any time during the year if it determines that such a change would be in our best interest and the best interests of our Unitholders.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2025 and 2024, the Partnership incurred the following fees with Grant Thornton:</w:t>
      </w:r>
    </w:p>
    <w:p>
      <w:pPr>
        <w:pStyle w:val="TextBody"/>
        <w:bidi w:val="0"/>
        <w:spacing w:before="0" w:after="0"/>
        <w:ind w:left="0" w:right="0" w:hanging="0"/>
        <w:jc w:val="left"/>
        <w:rPr>
          <w:caps w:val="false"/>
          <w:smallCaps w:val="false"/>
        </w:rPr>
      </w:pPr>
      <w:r>
        <w:rPr>
          <w:caps w:val="false"/>
          <w:smallCaps w:val="false"/>
        </w:rPr>
        <w:t> </w:t>
      </w:r>
    </w:p>
    <w:tbl>
      <w:tblPr>
        <w:tblW w:w="4088" w:type="dxa"/>
        <w:jc w:val="left"/>
        <w:tblInd w:w="0" w:type="dxa"/>
        <w:tblLayout w:type="fixed"/>
        <w:tblCellMar>
          <w:top w:w="0" w:type="dxa"/>
          <w:left w:w="0" w:type="dxa"/>
          <w:bottom w:w="0" w:type="dxa"/>
          <w:right w:w="0" w:type="dxa"/>
        </w:tblCellMar>
      </w:tblPr>
      <w:tblGrid>
        <w:gridCol w:w="1850"/>
        <w:gridCol w:w="60"/>
        <w:gridCol w:w="943"/>
        <w:gridCol w:w="116"/>
        <w:gridCol w:w="116"/>
        <w:gridCol w:w="943"/>
        <w:gridCol w:w="60"/>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 Ended December 31,</w:t>
              <w:br/>
              <w:t>(in thousands)</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16" w:type="dxa"/>
            <w:tcBorders>
              <w:bottom w:val="single" w:sz="2" w:space="0" w:color="000000"/>
            </w:tcBorders>
            <w:tcMar>
              <w:bottom w:w="28" w:type="dxa"/>
            </w:tcMar>
            <w:vAlign w:val="center"/>
          </w:tcPr>
          <w:p>
            <w:pPr>
              <w:pStyle w:val="TableContents"/>
              <w:bidi w:val="0"/>
              <w:spacing w:before="0" w:after="283"/>
              <w:jc w:val="left"/>
              <w:rPr/>
            </w:pPr>
            <w:r>
              <w:rPr/>
              <w:t> </w:t>
            </w:r>
          </w:p>
        </w:tc>
        <w:tc>
          <w:tcPr>
            <w:tcW w:w="11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(1)</w:t>
            </w:r>
          </w:p>
        </w:tc>
        <w:tc>
          <w:tcPr>
            <w:tcW w:w="60"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$ 456</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$ 420</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 (2)</w:t>
            </w:r>
          </w:p>
        </w:tc>
        <w:tc>
          <w:tcPr>
            <w:tcW w:w="60"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 (3)</w:t>
            </w:r>
          </w:p>
        </w:tc>
        <w:tc>
          <w:tcPr>
            <w:tcW w:w="60"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 (4)</w:t>
            </w:r>
          </w:p>
        </w:tc>
        <w:tc>
          <w:tcPr>
            <w:tcW w:w="60" w:type="dxa"/>
            <w:tcBorders/>
            <w:shd w:fill="CCEEFF" w:val="cle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$ 456</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$ 531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represent amounts billed for each of the periods presented for professional services rendered in connection with those services normally provided in connection with statutory and regulatory filings or engagements including audits of the annual financial statements, reviews of interim financial statements, comfort letters, consents and other services related to SEC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 represent amounts billed in each of the years presented for assurance and related services in connection with an acquisition.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4"/>
        <w:gridCol w:w="9921"/>
      </w:tblGrid>
      <w:tr>
        <w:trPr/>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2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Tax fees represent amounts billed for professional services rendered in connection with tax compliance, tax advice, and tax planning. There were no such services in 2025 or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 represent amounts billed for services not classifiable under the other categories listed in the table above. There were no such services in 2025 or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Advisory Committee has adopted procedures for pre-approving all audit and permitted non-audit services provided by our independent auditor. Part of this approval process includes making a determination on whether non-audit services are consistent with the Securities and Exchange Commission’s rules on auditor independence. The Advisory Committee periodically monitors the services rendered and actual fees paid to the independent auditors to ensure such services are within the parameters approved. In 2025, 100% of the total expenses paid to Grant Thornton were for Audit Fees. In 2024, 79% of the total expenses paid to Grant Thornton were for Audit Fees and 21% were for Audit-Related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Unitholders specify otherwise in the proxy, proxies solicited by the Board of Managers will be voted by the persons named in the proxy at the Annual Meeting of Unitholders to approve the appointment of Grant Thornton LLP as our independent registered accounting firm for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BOARD OF MANAGERS RECOMMENDS THAT UNITHOLDERS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APPOINTMENT OF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PROPOSAL TO APPROVE, BY A UNITHOLDER NON-BINDING ADVISORY VOTE, THE COMPENSATION PAID TO THE PARTNERSHIP</w:t>
      </w:r>
      <w:r>
        <w:rPr>
          <w:rFonts w:ascii="Times New Roman" w:hAnsi="Times New Roman"/>
          <w:caps w:val="false"/>
          <w:smallCaps w:val="false"/>
          <w:sz w:val="20"/>
        </w:rPr>
        <w:t>’</w:t>
      </w:r>
      <w:r>
        <w:rPr>
          <w:rFonts w:ascii="Times New Roman" w:hAnsi="Times New Roman"/>
          <w:b/>
          <w:caps w:val="false"/>
          <w:smallCaps w:val="false"/>
          <w:sz w:val="20"/>
        </w:rPr>
        <w:t xml:space="preserve">S NAMED EXECUTIVE OFFICERS, PURSUANT TO ITEM 402 OF REGULATION S-K OR ANY SUCCESSOR THERETO, COMMONLY REFERRED TO AS A </w:t>
      </w:r>
      <w:r>
        <w:rPr>
          <w:rFonts w:ascii="Times New Roman" w:hAnsi="Times New Roman"/>
          <w:caps w:val="false"/>
          <w:smallCaps w:val="false"/>
          <w:sz w:val="20"/>
        </w:rPr>
        <w:t>“</w:t>
      </w:r>
      <w:r>
        <w:rPr>
          <w:rFonts w:ascii="Times New Roman" w:hAnsi="Times New Roman"/>
          <w:b/>
          <w:caps w:val="false"/>
          <w:smallCaps w:val="false"/>
          <w:sz w:val="20"/>
        </w:rPr>
        <w:t>SAY-ON-PAY</w:t>
      </w:r>
      <w:r>
        <w:rPr>
          <w:rFonts w:ascii="Times New Roman" w:hAnsi="Times New Roman"/>
          <w:caps w:val="false"/>
          <w:smallCaps w:val="false"/>
          <w:sz w:val="20"/>
        </w:rPr>
        <w:t xml:space="preserve">” </w:t>
      </w:r>
      <w:r>
        <w:rPr>
          <w:rFonts w:ascii="Times New Roman" w:hAnsi="Times New Roman"/>
          <w:b/>
          <w:caps w:val="false"/>
          <w:smallCaps w:val="false"/>
          <w:sz w:val="20"/>
        </w:rPr>
        <w:t>PROPOSAL</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(PROPOSAL NO. 3 ON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recommends the approval of the compensation paid to the Partnership’s named executive officers as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required under the Dodd-Frank Wall Street Reform and Consumer Protection Act of 2010 (the “Dodd Frank Act”), we are submitting a “Say-on-Pay” proposal for our Unitholders’ consideration. This proposal provides Unitholders with the opportunity to cast an advisory vote on the compensation of the Partnership’s executive officers, in their capacity as the executive officers of our general partner, the general partner of our general partner and the operating partnership of our general partner. As discussed in the Compensation Discussion and Analysis, our overall compensation program is intended to ensure that the compensation and incentive opportunities provided to our executives and employees remain competitive and align the executive officers’ interest with those of the common Unitholders. Our Compensation Committee and Chief Executive Officer believe our compensation program is sufficient to attract, retain, incentivize and properly reward our employees, including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invite you to carefully review the Compensation Discussion and Analysis including the tabular and other disclosures on executive compensation contained in this Proxy Statement. Based upon that review, the Board of Managers recommends that the Unitholders approve, on an advisory basis, the following resolution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RESOLVED, that the compensation paid to the Partnership’s named executive officers, as discussed and disclosed pursuant to Item 402 of Regulation S-K in the Compensation Discussion and Analysis, the compensation table, and any narrative executive compensation disclosure contained in this Proxy Statement is hereby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the vote does not bind the Board of Managers to any particular action, the Board of Managers values the input of our Unitholders and will take into account the outcome of this vote in considering future compensation arrangements.</w:t>
      </w:r>
    </w:p>
    <w:p>
      <w:pPr>
        <w:pStyle w:val="TextBody"/>
        <w:bidi w:val="0"/>
        <w:spacing w:before="0" w:after="0"/>
        <w:ind w:left="16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BOARD OF MANAGERS RECOMMENDS THAT UNITHOLDERS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APPROVAL OF THE COMPENSATION PAID TO THE PARTNERSHIP</w:t>
      </w:r>
      <w:r>
        <w:rPr>
          <w:rFonts w:ascii="Times New Roman" w:hAnsi="Times New Roman"/>
          <w:caps w:val="false"/>
          <w:smallCaps w:val="false"/>
          <w:sz w:val="20"/>
        </w:rPr>
        <w:t>’</w:t>
      </w:r>
      <w:r>
        <w:rPr>
          <w:rFonts w:ascii="Times New Roman" w:hAnsi="Times New Roman"/>
          <w:b/>
          <w:caps w:val="false"/>
          <w:smallCaps w:val="false"/>
          <w:sz w:val="20"/>
        </w:rPr>
        <w:t>S NAMED EXECUTIVE OFFICERS AS DESCRIBED IN THIS PROXY STATEMENT.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HOUSEHOLDING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Partnership has received contrary instructions, the Partnership may send a single copy of this Proxy Statement to any household at which two or more Unitholders reside if the Partnership believes the Unitholders are members of the same family. This process, known as “householding,” reduces the volume of duplicate information received at your household and helps to reduce the Partnership’s expenses. Requests for additional copies of this Proxy Statement should be directed to Dorchester Minerals, L.P., Attn: 2026 Annual Meeting, 3838 Oak Lawn Avenue, Suite 300, Dallas, Texas 75219-4541.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Managers does not intend to present any other matters at the 2026 Annual Meeting and knows of no other matters that will be presented. However, if any other matters come before the 2026 Annual Meeting, it is the intention of the persons named in the enclosed proxy to vote in accordance with their judgment on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Board of Managers of Dorchester Minerals Management GP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Robert C. Vaughn</w:t>
      </w:r>
      <w:r>
        <w:rPr>
          <w:rFonts w:ascii="Times New Roman" w:hAnsi="Times New Roman"/>
          <w:caps w:val="false"/>
          <w:smallCaps w:val="false"/>
          <w:sz w:val="20"/>
        </w:rPr>
        <w:br/>
        <w:t>Robert C. Vaughn</w:t>
        <w:br/>
        <w:t>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PROXY</w:t>
      </w:r>
      <w:r>
        <w:rPr>
          <w:rFonts w:ascii="Times New Roman" w:hAnsi="Times New Roman"/>
          <w:caps w:val="false"/>
          <w:smallCaps w:val="false"/>
          <w:sz w:val="20"/>
        </w:rPr>
        <w:br/>
      </w:r>
      <w:r>
        <w:rPr>
          <w:rFonts w:ascii="Times New Roman" w:hAnsi="Times New Roman"/>
          <w:b/>
          <w:caps w:val="false"/>
          <w:smallCaps w:val="false"/>
          <w:sz w:val="20"/>
        </w:rPr>
        <w:t>DORCHESTER MINERALS, L.P.</w:t>
      </w:r>
      <w:r>
        <w:rPr>
          <w:rFonts w:ascii="Times New Roman" w:hAnsi="Times New Roman"/>
          <w:caps w:val="false"/>
          <w:smallCaps w:val="false"/>
          <w:sz w:val="20"/>
        </w:rPr>
        <w:br/>
      </w:r>
      <w:r>
        <w:rPr>
          <w:rFonts w:ascii="Times New Roman" w:hAnsi="Times New Roman"/>
          <w:b/>
          <w:caps w:val="false"/>
          <w:smallCaps w:val="false"/>
          <w:sz w:val="20"/>
        </w:rPr>
        <w:t>PROXY FOR 2026 ANNUAL MEETING OF LIMITED PARTNERS</w:t>
      </w:r>
      <w:r>
        <w:rPr>
          <w:rFonts w:ascii="Times New Roman" w:hAnsi="Times New Roman"/>
          <w:caps w:val="false"/>
          <w:smallCaps w:val="false"/>
          <w:sz w:val="20"/>
        </w:rPr>
        <w:br/>
      </w:r>
      <w:r>
        <w:rPr>
          <w:rFonts w:ascii="Times New Roman" w:hAnsi="Times New Roman"/>
          <w:b/>
          <w:caps w:val="false"/>
          <w:smallCaps w:val="false"/>
          <w:sz w:val="20"/>
        </w:rPr>
        <w:t>THIS PROXY IS SOLICITED ON BEHALF OF THE BOARD OF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undersigned hereby appoints each of Bradley J. Ehrman, Leslie A. Moriyama and Robert C. Vaughn proxy and attorney in-fact with full power of substitution, on behalf and in the name of the undersigned, to represent the undersigned and to vote as specified on the reverse side all common units of Dorchester Minerals, L.P., which the undersigned is entitled to vote at the Annual Meeting of Limited Partners on May 13, 2026 at 2:00 p.m. Central Time, or any adjournments or postponements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UNLESS A CONTRARY DIRECTION IS INDICATED, THIS PROXY WILL BE VOTED FOR ALL NOMINEES LISTED IN PROPOSAL ONE AND FOR PROPOSALS TWO AND THREE AS MORE SPECIFICALLY DESCRIBED IN THE PROXY STATEMENT. IF SPECIFIC INSTRUCTIONS ARE INDICATED, THIS PROXY WILL BE VOTED IN ACCORDANCE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Continued and to be marked, dated and signed on the reverse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BY INTERNET - www.proxyvote.com</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the internet to transmit your voting instructions and for electronic delivery of information up until 11:59 p.m. Eastern Time on May 12, 2026. Have your proxy card in hand when you access the web site and follow the instructions to obtain your records and to create an electronic voting instruction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DURING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You may attend the Annual Meeting and vote during the Annual Meeting. Upon arrival, please present the information that is printed in the box marked with the arrow on our proxy card or Notice of Internet Availability of Proxy Materials available and follow the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Electronic Delivery of Future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you would like to reduce the costs incurred by our partnership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BY PHONE - 1-800-690-6903</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any touch-tone telephone to transmit your voting instructions up until 11:59 p.m. Eastern Time on May 12, 2026. Have your proxy card in hand when you call and then follow the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 BY MAIL</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sign and date your proxy card and return it in the postage-paid envelope we have provided or return it to Vote Processing, c/o Broadridge, 51 Mercedes Way, Edgewood, NY 11717.</w:t>
      </w:r>
    </w:p>
    <w:p>
      <w:pPr>
        <w:pStyle w:val="TextBody"/>
        <w:bidi w:val="0"/>
        <w:spacing w:before="0" w:after="0"/>
        <w:ind w:left="0" w:right="0" w:hanging="0"/>
        <w:jc w:val="left"/>
        <w:rPr>
          <w:caps w:val="false"/>
          <w:smallCaps w:val="false"/>
        </w:rPr>
      </w:pPr>
      <w:r>
        <w:rPr>
          <w:caps w:val="false"/>
          <w:smallCaps w:val="false"/>
        </w:rPr>
        <w:t> </w:t>
      </w:r>
    </w:p>
    <w:tbl>
      <w:tblPr>
        <w:tblW w:w="6935" w:type="dxa"/>
        <w:jc w:val="left"/>
        <w:tblInd w:w="0" w:type="dxa"/>
        <w:tblLayout w:type="fixed"/>
        <w:tblCellMar>
          <w:top w:w="28" w:type="dxa"/>
          <w:left w:w="0" w:type="dxa"/>
          <w:bottom w:w="28" w:type="dxa"/>
          <w:right w:w="0" w:type="dxa"/>
        </w:tblCellMar>
      </w:tblPr>
      <w:tblGrid>
        <w:gridCol w:w="6935"/>
      </w:tblGrid>
      <w:tr>
        <w:trPr/>
        <w:tc>
          <w:tcPr>
            <w:tcW w:w="6935" w:type="dxa"/>
            <w:tcBorders>
              <w:top w:val="single" w:sz="2" w:space="0" w:color="000000"/>
              <w:bottom w:val="single" w:sz="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VOTE, MARK BLOCKS BELOW IN BLUE OR BLACK INK AS FOLLOWS: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KEEP THIS PORTION FOR YOUR RECORDS</w:t>
            </w:r>
          </w:p>
          <w:p>
            <w:pPr>
              <w:pStyle w:val="TableContents"/>
              <w:bidi w:val="0"/>
              <w:spacing w:before="0" w:after="0"/>
              <w:ind w:left="0" w:right="0" w:hanging="0"/>
              <w:jc w:val="center"/>
              <w:rPr>
                <w:caps w:val="false"/>
                <w:smallCaps w:val="false"/>
              </w:rPr>
            </w:pPr>
            <w:r>
              <w:rPr>
                <w:caps w:val="false"/>
                <w:smallCaps w:val="false"/>
              </w:rPr>
              <w:t> </w:t>
            </w:r>
          </w:p>
        </w:tc>
      </w:tr>
      <w:tr>
        <w:trPr/>
        <w:tc>
          <w:tcPr>
            <w:tcW w:w="6935" w:type="dxa"/>
            <w:tcBorders/>
            <w:tcMar>
              <w:top w:w="0" w:type="dxa"/>
              <w:bottom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DETACH AND RETURN THIS PORTION ONLY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lineRule="auto" w:line="288"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THIS PROXY CARD IS VALID ONLY WHEN SIGNED AND DATED.2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3251"/>
        <w:gridCol w:w="290"/>
        <w:gridCol w:w="800"/>
        <w:gridCol w:w="590"/>
        <w:gridCol w:w="60"/>
        <w:gridCol w:w="5044"/>
      </w:tblGrid>
      <w:tr>
        <w:trPr/>
        <w:tc>
          <w:tcPr>
            <w:tcW w:w="3421"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Board of Managers recommends that you vote FOR ALL the following:</w:t>
            </w:r>
          </w:p>
        </w:tc>
        <w:tc>
          <w:tcPr>
            <w:tcW w:w="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w:t>
            </w:r>
          </w:p>
        </w:tc>
        <w:tc>
          <w:tcPr>
            <w:tcW w:w="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Withhold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w:t>
            </w:r>
          </w:p>
        </w:tc>
        <w:tc>
          <w:tcPr>
            <w:tcW w:w="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All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Except</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283"/>
              <w:jc w:val="left"/>
              <w:rPr/>
            </w:pPr>
            <w:r>
              <w:rPr/>
              <w:t> </w:t>
            </w:r>
          </w:p>
        </w:tc>
        <w:tc>
          <w:tcPr>
            <w:tcW w:w="325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2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Election of Managers with subsequent appointment to the Advisory Committee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01 Allen D. Lassiter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02 A. Troy Sturrock</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03 Sarah N. Wariner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withhold authority to vote for any individual nominee(s), mark “For All Except” and write the number(s) of the nominee(s) on the line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9"/>
        <w:gridCol w:w="8115"/>
        <w:gridCol w:w="350"/>
        <w:gridCol w:w="710"/>
        <w:gridCol w:w="710"/>
        <w:gridCol w:w="60"/>
        <w:gridCol w:w="61"/>
      </w:tblGrid>
      <w:tr>
        <w:trPr/>
        <w:tc>
          <w:tcPr>
            <w:tcW w:w="8314" w:type="dxa"/>
            <w:gridSpan w:val="2"/>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Against</w:t>
            </w:r>
          </w:p>
        </w:tc>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Abstain</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Approval of the appointment of Grant Thornton LLP as our independent registered public accounting firm for the year ending December 31, 2026</w:t>
            </w:r>
          </w:p>
        </w:tc>
        <w:tc>
          <w:tcPr>
            <w:tcW w:w="35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r>
              <w:rPr>
                <w:sz w:val="20"/>
              </w:rPr>
              <w:t>For</w:t>
            </w:r>
          </w:p>
        </w:tc>
        <w:tc>
          <w:tcPr>
            <w:tcW w:w="710" w:type="dxa"/>
            <w:tcBorders/>
            <w:vAlign w:val="center"/>
          </w:tcPr>
          <w:p>
            <w:pPr>
              <w:pStyle w:val="TableContents"/>
              <w:bidi w:val="0"/>
              <w:spacing w:before="0" w:after="283"/>
              <w:jc w:val="left"/>
              <w:rPr/>
            </w:pPr>
            <w:r>
              <w:rPr/>
              <w:t> </w:t>
            </w:r>
            <w:r>
              <w:rPr>
                <w:sz w:val="20"/>
              </w:rPr>
              <w:t>Against</w:t>
            </w:r>
          </w:p>
        </w:tc>
        <w:tc>
          <w:tcPr>
            <w:tcW w:w="710" w:type="dxa"/>
            <w:tcBorders/>
            <w:vAlign w:val="center"/>
          </w:tcPr>
          <w:p>
            <w:pPr>
              <w:pStyle w:val="TableContents"/>
              <w:bidi w:val="0"/>
              <w:spacing w:before="0" w:after="283"/>
              <w:jc w:val="left"/>
              <w:rPr/>
            </w:pPr>
            <w:r>
              <w:rPr/>
              <w:t> </w:t>
            </w:r>
            <w:r>
              <w:rPr>
                <w:sz w:val="20"/>
              </w:rPr>
              <w:t>Abstain</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r>
              <w:rPr>
                <w:sz w:val="20"/>
              </w:rPr>
              <w:t>3.</w:t>
            </w:r>
          </w:p>
        </w:tc>
        <w:tc>
          <w:tcPr>
            <w:tcW w:w="8115" w:type="dxa"/>
            <w:tcBorders/>
            <w:vAlign w:val="center"/>
          </w:tcPr>
          <w:p>
            <w:pPr>
              <w:pStyle w:val="TableContents"/>
              <w:bidi w:val="0"/>
              <w:spacing w:before="0" w:after="283"/>
              <w:jc w:val="left"/>
              <w:rPr/>
            </w:pPr>
            <w:r>
              <w:rPr/>
              <w:t>Approval of, by a unitholder non-binding advisory vote, the compensation paid to the Partnership’s named executive officers, as disclosed pursuant to Item 402 of Regulation S-K, commonly referred to as a “Say-on-Pay” proposal </w:t>
            </w:r>
          </w:p>
        </w:tc>
        <w:tc>
          <w:tcPr>
            <w:tcW w:w="35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r>
        <w:trPr/>
        <w:tc>
          <w:tcPr>
            <w:tcW w:w="199" w:type="dxa"/>
            <w:tcBorders/>
            <w:vAlign w:val="center"/>
          </w:tcPr>
          <w:p>
            <w:pPr>
              <w:pStyle w:val="TableContents"/>
              <w:bidi w:val="0"/>
              <w:spacing w:before="0" w:after="283"/>
              <w:jc w:val="left"/>
              <w:rPr/>
            </w:pPr>
            <w:r>
              <w:rPr/>
              <w:t> </w:t>
            </w:r>
          </w:p>
        </w:tc>
        <w:tc>
          <w:tcPr>
            <w:tcW w:w="811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THIS PROXY, WHEN PROPERLY EXECUTED, WILL BE VOTED AS DIRECTED OR, IF</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 DIRECTION IS INDICATED, WILL BE VOTED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PROPOSAL NOS. 1, 2 AND 3. THE PROXIES ARE AUTHORIZED TO VOTE IN THEIR DISCRETION ON SUCH OTHER MATTERS AS MAY PROPERLY COME BEFORE THE MEETING, OR ANY ADJOURNMENT OR POSTPONEMENT THEREOF, INCLUDING, AMONG OTHER THINGS, CONSIDERATION OF ANY MOTION MADE FOR ADJOURNMENT OR POSTPONEMENT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extBody"/>
        <w:bidi w:val="0"/>
        <w:spacing w:before="0" w:after="0"/>
        <w:ind w:left="0" w:right="0" w:hanging="0"/>
        <w:jc w:val="left"/>
        <w:rPr>
          <w:caps w:val="false"/>
          <w:smallCaps w:val="false"/>
        </w:rPr>
      </w:pPr>
      <w:r>
        <w:rPr>
          <w:caps w:val="false"/>
          <w:smallCaps w:val="false"/>
        </w:rPr>
        <w:t> </w:t>
      </w:r>
    </w:p>
    <w:tbl>
      <w:tblPr>
        <w:tblW w:w="7460" w:type="dxa"/>
        <w:jc w:val="left"/>
        <w:tblInd w:w="0" w:type="dxa"/>
        <w:tblLayout w:type="fixed"/>
        <w:tblCellMar>
          <w:top w:w="0" w:type="dxa"/>
          <w:left w:w="0" w:type="dxa"/>
          <w:bottom w:w="28" w:type="dxa"/>
          <w:right w:w="0" w:type="dxa"/>
        </w:tblCellMar>
      </w:tblPr>
      <w:tblGrid>
        <w:gridCol w:w="3335"/>
        <w:gridCol w:w="395"/>
        <w:gridCol w:w="3335"/>
        <w:gridCol w:w="395"/>
      </w:tblGrid>
      <w:tr>
        <w:trPr/>
        <w:tc>
          <w:tcPr>
            <w:tcW w:w="3335" w:type="dxa"/>
            <w:tcBorders>
              <w:bottom w:val="single" w:sz="2" w:space="0" w:color="000000"/>
            </w:tcBorders>
            <w:vAlign w:val="center"/>
          </w:tcPr>
          <w:p>
            <w:pPr>
              <w:pStyle w:val="TableContents"/>
              <w:bidi w:val="0"/>
              <w:spacing w:before="0" w:after="283"/>
              <w:jc w:val="left"/>
              <w:rPr/>
            </w:pPr>
            <w:r>
              <w:rPr/>
              <w:t> </w:t>
            </w:r>
          </w:p>
        </w:tc>
        <w:tc>
          <w:tcPr>
            <w:tcW w:w="395" w:type="dxa"/>
            <w:tcBorders>
              <w:bottom w:val="single" w:sz="2" w:space="0" w:color="000000"/>
            </w:tcBorders>
            <w:vAlign w:val="center"/>
          </w:tcPr>
          <w:p>
            <w:pPr>
              <w:pStyle w:val="TableContents"/>
              <w:bidi w:val="0"/>
              <w:spacing w:before="0" w:after="283"/>
              <w:jc w:val="left"/>
              <w:rPr/>
            </w:pPr>
            <w:r>
              <w:rPr/>
              <w:t> </w:t>
            </w:r>
          </w:p>
        </w:tc>
        <w:tc>
          <w:tcPr>
            <w:tcW w:w="3335" w:type="dxa"/>
            <w:tcBorders>
              <w:bottom w:val="single" w:sz="2" w:space="0" w:color="000000"/>
            </w:tcBorders>
            <w:vAlign w:val="center"/>
          </w:tcPr>
          <w:p>
            <w:pPr>
              <w:pStyle w:val="TableContents"/>
              <w:bidi w:val="0"/>
              <w:spacing w:before="0" w:after="283"/>
              <w:jc w:val="left"/>
              <w:rPr/>
            </w:pPr>
            <w:r>
              <w:rPr/>
              <w:t> </w:t>
            </w:r>
          </w:p>
        </w:tc>
        <w:tc>
          <w:tcPr>
            <w:tcW w:w="395" w:type="dxa"/>
            <w:tcBorders>
              <w:bottom w:val="single" w:sz="2" w:space="0" w:color="000000"/>
            </w:tcBorders>
            <w:vAlign w:val="center"/>
          </w:tcPr>
          <w:p>
            <w:pPr>
              <w:pStyle w:val="TableContents"/>
              <w:bidi w:val="0"/>
              <w:spacing w:before="0" w:after="283"/>
              <w:jc w:val="left"/>
              <w:rPr/>
            </w:pPr>
            <w:r>
              <w:rPr/>
              <w:t> </w:t>
            </w:r>
          </w:p>
        </w:tc>
      </w:tr>
      <w:tr>
        <w:trPr/>
        <w:tc>
          <w:tcPr>
            <w:tcW w:w="33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(PLEASE SIGN WITHIN BOX)</w:t>
            </w:r>
          </w:p>
        </w:tc>
        <w:tc>
          <w:tcPr>
            <w:tcW w:w="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tc>
        <w:tc>
          <w:tcPr>
            <w:tcW w:w="333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(PLEASE SIGN WITHIN BOX)</w:t>
            </w:r>
          </w:p>
        </w:tc>
        <w:tc>
          <w:tcPr>
            <w:tcW w:w="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15544</Words>
  <Characters>82438</Characters>
  <CharactersWithSpaces>98631</CharactersWithSpaces>
  <Paragraphs>2420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