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4"/>
        </w:rPr>
      </w:pPr>
      <w:bookmarkStart w:id="0" w:name="dmlp20260723_8k.htm"/>
      <w:bookmarkStart w:id="1" w:name="ksdmlp20260723_8k"/>
      <w:bookmarkEnd w:id="0"/>
      <w:bookmarkEnd w:id="1"/>
      <w:r>
        <w:rPr>
          <w:rFonts w:ascii="Times New Roman" w:hAnsi="Times New Roman"/>
          <w:caps w:val="false"/>
          <w:smallCaps w:val="false"/>
          <w:sz w:val="24"/>
        </w:rPr>
        <w:t>UNITED STATES</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SECURITIES AND EXCHANGE COMMISSION</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u w:val="single"/>
        </w:rPr>
        <w:t>July 23,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u w:val="single"/>
        </w:rPr>
        <w:t>DORCHESTER MINERALS, L.P.</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360"/>
        <w:gridCol w:w="60"/>
        <w:gridCol w:w="1100"/>
        <w:gridCol w:w="60"/>
        <w:gridCol w:w="1520"/>
      </w:tblGrid>
      <w:tr>
        <w:trPr/>
        <w:tc>
          <w:tcPr>
            <w:tcW w:w="23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000-50175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81-0551518</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3838 Oak Lawn, Suite 300, Dallas, Texas75219</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N/A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caps w:val="false"/>
          <w:smallCaps w:val="false"/>
          <w:sz w:val="20"/>
          <w:u w:val="single"/>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0" w:type="dxa"/>
        <w:tblLayout w:type="fixed"/>
        <w:tblCellMar>
          <w:top w:w="0" w:type="dxa"/>
          <w:left w:w="0" w:type="dxa"/>
          <w:bottom w:w="28" w:type="dxa"/>
          <w:right w:w="0" w:type="dxa"/>
        </w:tblCellMar>
      </w:tblPr>
      <w:tblGrid>
        <w:gridCol w:w="4670"/>
        <w:gridCol w:w="60"/>
        <w:gridCol w:w="1610"/>
        <w:gridCol w:w="60"/>
        <w:gridCol w:w="3695"/>
      </w:tblGrid>
      <w:tr>
        <w:trPr/>
        <w:tc>
          <w:tcPr>
            <w:tcW w:w="46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46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Units Representing Limited Partnership Interest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DMLP</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2" w:name="itemtwo"/>
      <w:bookmarkEnd w:id="2"/>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The Registrant is furnishing its press release dated July 23, 2026, which announces the Registrant's cash distribution for the quarter ended June 30, 2026.  The press release is attached hereto as Exhibit 99.1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xml:space="preserve">                 </w:t>
      </w:r>
      <w:r>
        <w:rPr>
          <w:rFonts w:ascii="Times New Roman" w:hAnsi="Times New Roman"/>
          <w:b/>
          <w:caps w:val="false"/>
          <w:smallCaps w:val="false"/>
          <w:sz w:val="20"/>
        </w:rPr>
        <w:t>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On July 23, 2026, the Registrant issued a press release announcing the Registrant’s cash distribution for the quarter ended June 30, 2026. The press release is attached hereto as Exhibit 99.1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disclosed in this report under Item 7.01, including Exhibit 99.1, is being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318" w:type="dxa"/>
        <w:jc w:val="left"/>
        <w:tblInd w:w="0" w:type="dxa"/>
        <w:tblLayout w:type="fixed"/>
        <w:tblCellMar>
          <w:top w:w="28" w:type="dxa"/>
          <w:left w:w="28" w:type="dxa"/>
          <w:bottom w:w="28" w:type="dxa"/>
          <w:right w:w="28" w:type="dxa"/>
        </w:tblCellMar>
      </w:tblPr>
      <w:tblGrid>
        <w:gridCol w:w="161"/>
        <w:gridCol w:w="316"/>
        <w:gridCol w:w="84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841"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466"/>
        <w:gridCol w:w="9578"/>
      </w:tblGrid>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9578" w:type="dxa"/>
            <w:tcBorders/>
            <w:vAlign w:val="center"/>
          </w:tcPr>
          <w:p>
            <w:pPr>
              <w:pStyle w:val="TableContents"/>
              <w:bidi w:val="0"/>
              <w:spacing w:before="0" w:after="0"/>
              <w:ind w:left="0" w:right="0" w:hanging="0"/>
              <w:jc w:val="left"/>
              <w:rPr/>
            </w:pPr>
            <w:hyperlink w:anchor="ex_992149.htm">
              <w:r>
                <w:rPr>
                  <w:rStyle w:val="InternetLink"/>
                  <w:rFonts w:ascii="Times New Roman" w:hAnsi="Times New Roman"/>
                  <w:caps w:val="false"/>
                  <w:smallCaps w:val="false"/>
                  <w:sz w:val="20"/>
                </w:rPr>
                <w:t>Press Release dated July 23, 2026, announcing the Registrant's cash distribution for the quarter ended June 30, 2026. The press release is attached hereto as Exhibit 99.1 and incorporated herein by reference.</w:t>
              </w:r>
            </w:hyperlink>
          </w:p>
        </w:tc>
      </w:tr>
    </w:tbl>
    <w:p>
      <w:pPr>
        <w:pStyle w:val="TextBody"/>
        <w:bidi w:val="0"/>
        <w:spacing w:before="0" w:after="0"/>
        <w:ind w:left="0" w:right="0" w:hanging="0"/>
        <w:jc w:val="left"/>
        <w:rPr>
          <w:caps w:val="false"/>
          <w:smallCaps w:val="false"/>
        </w:rPr>
      </w:pPr>
      <w:r>
        <w:rPr>
          <w:caps w:val="false"/>
          <w:smallCaps w:val="false"/>
        </w:rPr>
        <w:t> </w:t>
      </w:r>
    </w:p>
    <w:tbl>
      <w:tblPr>
        <w:tblW w:w="5468" w:type="dxa"/>
        <w:jc w:val="left"/>
        <w:tblInd w:w="0" w:type="dxa"/>
        <w:tblLayout w:type="fixed"/>
        <w:tblCellMar>
          <w:top w:w="28" w:type="dxa"/>
          <w:left w:w="28" w:type="dxa"/>
          <w:bottom w:w="28" w:type="dxa"/>
          <w:right w:w="28" w:type="dxa"/>
        </w:tblCellMar>
      </w:tblPr>
      <w:tblGrid>
        <w:gridCol w:w="161"/>
        <w:gridCol w:w="146"/>
        <w:gridCol w:w="516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1" w:type="dxa"/>
            <w:tcBorders/>
            <w:vAlign w:val="center"/>
          </w:tcPr>
          <w:p>
            <w:pPr>
              <w:pStyle w:val="TableContents"/>
              <w:bidi w:val="0"/>
              <w:spacing w:before="0" w:after="0"/>
              <w:ind w:left="0" w:right="0" w:hanging="0"/>
              <w:jc w:val="left"/>
              <w:rPr/>
            </w:pPr>
            <w:hyperlink w:anchor="itemtwo">
              <w:r>
                <w:rPr>
                  <w:rStyle w:val="InternetLink"/>
                  <w:rFonts w:ascii="Times New Roman" w:hAnsi="Times New Roman"/>
                  <w:caps w:val="false"/>
                  <w:smallCaps w:val="false"/>
                  <w:sz w:val="20"/>
                </w:rPr>
                <w:t>See Item 2.02. Results of Operations and Financial Condition.</w:t>
              </w:r>
            </w:hyperlink>
          </w:p>
        </w:tc>
      </w:tr>
    </w:tbl>
    <w:p>
      <w:pPr>
        <w:pStyle w:val="TextBody"/>
        <w:bidi w:val="0"/>
        <w:spacing w:before="0" w:after="0"/>
        <w:ind w:left="0" w:right="0" w:hanging="0"/>
        <w:jc w:val="left"/>
        <w:rPr>
          <w:caps w:val="false"/>
          <w:smallCaps w:val="false"/>
        </w:rPr>
      </w:pPr>
      <w:r>
        <w:rPr>
          <w:caps w:val="false"/>
          <w:smallCaps w:val="false"/>
        </w:rPr>
        <w:t> </w:t>
      </w:r>
    </w:p>
    <w:tbl>
      <w:tblPr>
        <w:tblW w:w="7183" w:type="dxa"/>
        <w:jc w:val="left"/>
        <w:tblInd w:w="0" w:type="dxa"/>
        <w:tblLayout w:type="fixed"/>
        <w:tblCellMar>
          <w:top w:w="28" w:type="dxa"/>
          <w:left w:w="28" w:type="dxa"/>
          <w:bottom w:w="28" w:type="dxa"/>
          <w:right w:w="28" w:type="dxa"/>
        </w:tblCellMar>
      </w:tblPr>
      <w:tblGrid>
        <w:gridCol w:w="161"/>
        <w:gridCol w:w="421"/>
        <w:gridCol w:w="6601"/>
      </w:tblGrid>
      <w:tr>
        <w:trPr/>
        <w:tc>
          <w:tcPr>
            <w:tcW w:w="16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DORCHESTER MINERALS, L.P.</w:t>
      </w:r>
      <w:r>
        <w:rPr>
          <w:rFonts w:ascii="Times New Roman" w:hAnsi="Times New Roman"/>
          <w:caps w:val="false"/>
          <w:smallCaps w:val="false"/>
          <w:sz w:val="20"/>
        </w:rPr>
        <w:t xml:space="preserve">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Dorchester Minerals Management LP</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Dorchester Minerals Management GP LLC</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23, 2026</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Leslie A. Moriyama</w:t>
      </w:r>
      <w:r>
        <w:rPr>
          <w:rFonts w:ascii="Times New Roman" w:hAnsi="Times New Roman"/>
          <w:caps w:val="false"/>
          <w:smallCaps w:val="false"/>
          <w:sz w:val="20"/>
        </w:rPr>
        <w:t xml:space="preserve"> </w:t>
      </w:r>
    </w:p>
    <w:p>
      <w:pPr>
        <w:pStyle w:val="TextBody"/>
        <w:bidi w:val="0"/>
        <w:spacing w:before="0" w:after="0"/>
        <w:ind w:left="4320" w:right="0" w:firstLine="720"/>
        <w:jc w:val="left"/>
        <w:rPr>
          <w:rFonts w:ascii="Times New Roman" w:hAnsi="Times New Roman"/>
          <w:caps w:val="false"/>
          <w:smallCaps w:val="false"/>
          <w:sz w:val="20"/>
        </w:rPr>
      </w:pPr>
      <w:r>
        <w:rPr>
          <w:rFonts w:ascii="Times New Roman" w:hAnsi="Times New Roman"/>
          <w:caps w:val="false"/>
          <w:smallCaps w:val="false"/>
          <w:sz w:val="20"/>
        </w:rPr>
        <w:t>Leslie A. Moriyama</w:t>
      </w:r>
    </w:p>
    <w:p>
      <w:pPr>
        <w:pStyle w:val="TextBody"/>
        <w:bidi w:val="0"/>
        <w:spacing w:before="0" w:after="0"/>
        <w:ind w:left="4320" w:right="0" w:firstLine="72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extBody"/>
        <w:bidi w:val="0"/>
        <w:ind w:left="432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ex_992149.htm"/>
      <w:bookmarkStart w:id="4" w:name="ksex_992149"/>
      <w:bookmarkEnd w:id="3"/>
      <w:bookmarkEnd w:id="4"/>
      <w:r>
        <w:rPr>
          <w:caps w:val="false"/>
          <w:smallCaps w:val="false"/>
        </w:rPr>
        <w:t> </w:t>
      </w:r>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99.1</w:t>
      </w:r>
    </w:p>
    <w:tbl>
      <w:tblPr>
        <w:tblW w:w="6490" w:type="dxa"/>
        <w:jc w:val="left"/>
        <w:tblInd w:w="0" w:type="dxa"/>
        <w:tblLayout w:type="fixed"/>
        <w:tblCellMar>
          <w:top w:w="0" w:type="dxa"/>
          <w:left w:w="0" w:type="dxa"/>
          <w:bottom w:w="0" w:type="dxa"/>
          <w:right w:w="0" w:type="dxa"/>
        </w:tblCellMar>
      </w:tblPr>
      <w:tblGrid>
        <w:gridCol w:w="2720"/>
        <w:gridCol w:w="3770"/>
      </w:tblGrid>
      <w:tr>
        <w:trPr/>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NEWS RELEASE</w:t>
            </w:r>
          </w:p>
        </w:tc>
        <w:tc>
          <w:tcPr>
            <w:tcW w:w="3770" w:type="dxa"/>
            <w:tcBorders/>
            <w:vAlign w:val="center"/>
          </w:tcPr>
          <w:p>
            <w:pPr>
              <w:pStyle w:val="TableContents"/>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1325"/>
        <w:gridCol w:w="1325"/>
        <w:gridCol w:w="3125"/>
      </w:tblGrid>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Release Date:</w:t>
            </w:r>
          </w:p>
        </w:tc>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July 23, 2026</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3838 Oak Lawn Ave., Suite 300</w:t>
            </w:r>
          </w:p>
        </w:tc>
      </w:tr>
      <w:tr>
        <w:trPr/>
        <w:tc>
          <w:tcPr>
            <w:tcW w:w="1325" w:type="dxa"/>
            <w:tcBorders/>
            <w:vAlign w:val="center"/>
          </w:tcPr>
          <w:p>
            <w:pPr>
              <w:pStyle w:val="TableContents"/>
              <w:bidi w:val="0"/>
              <w:spacing w:before="0" w:after="0"/>
              <w:ind w:left="0" w:right="0" w:hanging="0"/>
              <w:jc w:val="left"/>
              <w:rPr/>
            </w:pPr>
            <w:r>
              <w:rPr/>
              <w:t> </w:t>
            </w:r>
          </w:p>
        </w:tc>
        <w:tc>
          <w:tcPr>
            <w:tcW w:w="1325" w:type="dxa"/>
            <w:tcBorders/>
            <w:vAlign w:val="center"/>
          </w:tcPr>
          <w:p>
            <w:pPr>
              <w:pStyle w:val="TableContents"/>
              <w:bidi w:val="0"/>
              <w:spacing w:before="0" w:after="0"/>
              <w:ind w:left="0" w:right="0" w:hanging="0"/>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Dallas, Texas 75219-4541</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Contact:</w:t>
            </w:r>
          </w:p>
        </w:tc>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Martye Miller</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(214) 559-0300</w:t>
            </w:r>
          </w:p>
        </w:tc>
      </w:tr>
    </w:tbl>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Dorchester Minerals, L.P. Announces Its Second Quarter Distribution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DALLAS, TEXAS — Dorchester Minerals, L.P. (NASDAQ:DMLP) announced today the Partnership’s second quarter 2026 cash distribution. The distribution of $1.272943 per common unit represents activity for the three-month period ended June 30, 2026 and is payable on August 13, 2026 to common unitholders of record as of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receipts attributable to the Partnership’s Royalty Properties during the second quarter totaled approximately $50.4 million. Approximately 66% of these receipts reflect oil sales during March 2026 through May 2026 and natural gas sales during February 2026 through April 2026, and approximately 34% from prior sales periods. Cash receipts attributable to the Partnership’s Net Profits Interest during the second quarter totaled approximately $16.6 million. Approximately 21% of these receipts reflect oil sales and natural gas sales during February 2026 through April 2026, and approximately 79% from prior sales periods including proceeds from the previously announced settlement and mutual release agreement affecting certain leasehold in Midland County,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receipts attributable to lease bonus and other income during the second quarter totaled approximately $2.5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Partnership also announced today that its 2025 Schedule K-3 reflecting items of international tax relevance is available online. Unitholders requiring this information may access their Schedules K-3 at www.taxpackagesupport.com/DMLP.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limited number of unitholders (primarily foreign unitholders, unitholders computing a foreign tax credit on their tax return and certain corporate and/or partnership unitholders) may need the detailed information disclosed on Schedule K-3 for their specific reporting requirements.  To the extent Schedule K-3 is applicable to your federal income tax return filing needs, we encourage you to review the information contained on this form and refer to the appropriate federal laws and guidance or consult with your tax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receive an electronic copy of your Schedule K-3 via email, unitholders may call Tax Package Support toll free at 877-222-3204.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Dorchester Minerals, L.P. is a Dallas-based owner of producing and non-producing oil and natural gas mineral, royalty, overriding royalty, net profits, and leasehold interests located in 28 states. Its common units trade on the Nasdaq Global Select Market under the symbol DMLP.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release serves as qualified notice to nominees as provided for under Treasury Regulation Section 1.1446-4(b)(4) and (d). Although a portion of Dorchester Minerals, L.P.’s income may not be effectively connected income and may be subject to alternative withholding procedures, brokers and nominees should treat 100% of Dorchester Minerals, L.P.’s distributions to non-U.S. investors as being attributable to income that is effectively connected with a United States trade or business. Accordingly, Dorchester Minerals, L.P.’s distributions to non-U.S. investors are subject to federal income tax withholding at the highest marginal rate for individuals or corporations, as applicable. Nominees, and not Dorchester Minerals, L.P., are treated as withholding agents responsible for withholding on distributions received by them on behalf of non-U.S.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60"/>
        <w:jc w:val="both"/>
        <w:rPr>
          <w:rFonts w:ascii="Times New Roman" w:hAnsi="Times New Roman"/>
          <w:caps w:val="false"/>
          <w:smallCaps w:val="false"/>
          <w:sz w:val="20"/>
        </w:rPr>
      </w:pPr>
      <w:r>
        <w:rPr>
          <w:rFonts w:ascii="Times New Roman" w:hAnsi="Times New Roman"/>
          <w:caps w:val="false"/>
          <w:smallCaps w:val="false"/>
          <w:sz w:val="20"/>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1245</Words>
  <Characters>7194</Characters>
  <CharactersWithSpaces>8523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