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dmlp20260803_8k.htm"/>
      <w:bookmarkStart w:id="1" w:name="ksdmlp20260803_8k"/>
      <w:bookmarkEnd w:id="0"/>
      <w:bookmarkEnd w:id="1"/>
      <w:r>
        <w:rPr/>
        <w:t> </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caps w:val="false"/>
          <w:smallCaps w:val="false"/>
          <w:sz w:val="24"/>
        </w:rPr>
        <w:t>UNITED STATES</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caps w:val="false"/>
          <w:smallCaps w:val="false"/>
          <w:sz w:val="24"/>
        </w:rPr>
        <w:t>SECURITIES AND EXCHANGE COMMISSION</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caps w:val="false"/>
          <w:smallCaps w:val="false"/>
          <w:sz w:val="20"/>
          <w:u w:val="single"/>
        </w:rPr>
        <w:t>July 31,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u w:val="single"/>
        </w:rPr>
        <w:t>DORCHESTER MINERALS, L.P.</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60" w:right="0" w:hanging="0"/>
        <w:jc w:val="center"/>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2506"/>
        <w:gridCol w:w="146"/>
        <w:gridCol w:w="1231"/>
        <w:gridCol w:w="146"/>
        <w:gridCol w:w="1651"/>
      </w:tblGrid>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Delaware</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23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000-50175</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65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81-0551518</w:t>
            </w:r>
          </w:p>
        </w:tc>
      </w:tr>
      <w:tr>
        <w:trPr/>
        <w:tc>
          <w:tcPr>
            <w:tcW w:w="250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Incorporation)</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23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(Commission </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File Number)</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6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3838 Oak Lawn, Suite 300, Dallas, Texas75219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w:t>
        <w:noBreakHyphen/>
        <w:t>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w:t>
              <w:noBreakHyphen/>
              <w:t>12 under the Exchange Act (17 CFR 240.14a</w:t>
              <w:noBreakHyphen/>
              <w:t>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w:t>
              <w:noBreakHyphen/>
              <w:t>commencement communications pursuant to Rule 14d</w:t>
              <w:noBreakHyphen/>
              <w:t>2(b) under the Exchange Act (17 CFR 240.14d</w:t>
              <w:noBreakHyphen/>
              <w:t>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w:t>
              <w:noBreakHyphen/>
              <w:t>commencement communications pursuant to Rule 13e</w:t>
              <w:noBreakHyphen/>
              <w:t>4(c) under the Exchange Act (17 CFR 240.13e</w:t>
              <w:noBreakHyphen/>
              <w:t>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780" w:type="dxa"/>
        <w:jc w:val="left"/>
        <w:tblInd w:w="0" w:type="dxa"/>
        <w:tblLayout w:type="fixed"/>
        <w:tblCellMar>
          <w:top w:w="0" w:type="dxa"/>
          <w:left w:w="0" w:type="dxa"/>
          <w:bottom w:w="0" w:type="dxa"/>
          <w:right w:w="0" w:type="dxa"/>
        </w:tblCellMar>
      </w:tblPr>
      <w:tblGrid>
        <w:gridCol w:w="4670"/>
        <w:gridCol w:w="1535"/>
        <w:gridCol w:w="3575"/>
      </w:tblGrid>
      <w:tr>
        <w:trPr/>
        <w:tc>
          <w:tcPr>
            <w:tcW w:w="46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r>
      <w:tr>
        <w:trPr/>
        <w:tc>
          <w:tcPr>
            <w:tcW w:w="4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DMLP</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w:t>
        <w:noBreakHyphen/>
        <w:t>2 of the Securities Exchange Act of 1934 (§240.12b</w:t>
        <w:noBreakHyphen/>
        <w:t>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720"/>
        <w:jc w:val="both"/>
        <w:rPr>
          <w:rFonts w:ascii="Times New Roman" w:hAnsi="Times New Roman"/>
          <w:caps w:val="false"/>
          <w:smallCaps w:val="false"/>
          <w:sz w:val="20"/>
        </w:rPr>
      </w:pPr>
      <w:r>
        <w:rPr>
          <w:rFonts w:ascii="Times New Roman" w:hAnsi="Times New Roman"/>
          <w:caps w:val="false"/>
          <w:smallCaps w:val="false"/>
          <w:sz w:val="20"/>
        </w:rPr>
        <w:t>On August 3, 2026, the Partnership issued a press release announcing the closing of an acquisition of certain mineral and royalty interests (the “Press Release”).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720"/>
        <w:jc w:val="both"/>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10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in this Item 7.01 and Exhibit 99.1 is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left"/>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720"/>
        <w:jc w:val="both"/>
        <w:rPr>
          <w:rFonts w:ascii="Times New Roman" w:hAnsi="Times New Roman"/>
          <w:caps w:val="false"/>
          <w:smallCaps w:val="false"/>
          <w:sz w:val="20"/>
        </w:rPr>
      </w:pPr>
      <w:r>
        <w:rPr>
          <w:rFonts w:ascii="Times New Roman" w:hAnsi="Times New Roman"/>
          <w:caps w:val="false"/>
          <w:smallCaps w:val="false"/>
          <w:sz w:val="20"/>
        </w:rPr>
        <w:t>On July 31, 2026, the Partnership closed the previously announced acquisition of mineral and royalty interests totaling approximately 3,100 net royalty acres located in five counties across the Williston Basin in North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720"/>
        <w:jc w:val="both"/>
        <w:rPr>
          <w:rFonts w:ascii="Times New Roman" w:hAnsi="Times New Roman"/>
          <w:caps w:val="false"/>
          <w:smallCaps w:val="false"/>
          <w:sz w:val="20"/>
        </w:rPr>
      </w:pPr>
      <w:r>
        <w:rPr>
          <w:rFonts w:ascii="Times New Roman" w:hAnsi="Times New Roman"/>
          <w:caps w:val="false"/>
          <w:smallCaps w:val="false"/>
          <w:sz w:val="20"/>
        </w:rPr>
        <w:t>The transaction was structured as a non-taxable contribution and exchange. The contributing entities conveyed their interests to the Partnership in exchange for 835,958 common units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333" w:type="dxa"/>
        <w:jc w:val="left"/>
        <w:tblInd w:w="0" w:type="dxa"/>
        <w:tblLayout w:type="fixed"/>
        <w:tblCellMar>
          <w:top w:w="28" w:type="dxa"/>
          <w:left w:w="28" w:type="dxa"/>
          <w:bottom w:w="28" w:type="dxa"/>
          <w:right w:w="28" w:type="dxa"/>
        </w:tblCellMar>
      </w:tblPr>
      <w:tblGrid>
        <w:gridCol w:w="161"/>
        <w:gridCol w:w="331"/>
        <w:gridCol w:w="841"/>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41"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3688" w:type="dxa"/>
        <w:jc w:val="left"/>
        <w:tblInd w:w="0" w:type="dxa"/>
        <w:tblLayout w:type="fixed"/>
        <w:tblCellMar>
          <w:top w:w="28" w:type="dxa"/>
          <w:left w:w="28" w:type="dxa"/>
          <w:bottom w:w="28" w:type="dxa"/>
          <w:right w:w="28" w:type="dxa"/>
        </w:tblCellMar>
      </w:tblPr>
      <w:tblGrid>
        <w:gridCol w:w="161"/>
        <w:gridCol w:w="466"/>
        <w:gridCol w:w="3061"/>
      </w:tblGrid>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3061" w:type="dxa"/>
            <w:tcBorders/>
            <w:vAlign w:val="center"/>
          </w:tcPr>
          <w:p>
            <w:pPr>
              <w:pStyle w:val="TableContents"/>
              <w:bidi w:val="0"/>
              <w:spacing w:before="0" w:after="0"/>
              <w:ind w:left="0" w:right="0" w:hanging="0"/>
              <w:jc w:val="left"/>
              <w:rPr/>
            </w:pPr>
            <w:hyperlink w:anchor="ex_997582.htm">
              <w:r>
                <w:rPr>
                  <w:rStyle w:val="InternetLink"/>
                  <w:rFonts w:ascii="Times New Roman" w:hAnsi="Times New Roman"/>
                  <w:caps w:val="false"/>
                  <w:smallCaps w:val="false"/>
                  <w:sz w:val="20"/>
                </w:rPr>
                <w:t>Press Release dated August 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28" w:type="dxa"/>
          <w:left w:w="28" w:type="dxa"/>
          <w:bottom w:w="28" w:type="dxa"/>
          <w:right w:w="28" w:type="dxa"/>
        </w:tblCellMar>
      </w:tblPr>
      <w:tblGrid>
        <w:gridCol w:w="161"/>
        <w:gridCol w:w="421"/>
        <w:gridCol w:w="6601"/>
      </w:tblGrid>
      <w:tr>
        <w:trPr/>
        <w:tc>
          <w:tcPr>
            <w:tcW w:w="16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8" w:type="dxa"/>
        <w:jc w:val="left"/>
        <w:tblInd w:w="0" w:type="dxa"/>
        <w:tblLayout w:type="fixed"/>
        <w:tblCellMar>
          <w:top w:w="0" w:type="dxa"/>
          <w:left w:w="0" w:type="dxa"/>
          <w:bottom w:w="0" w:type="dxa"/>
          <w:right w:w="0" w:type="dxa"/>
        </w:tblCellMar>
      </w:tblPr>
      <w:tblGrid>
        <w:gridCol w:w="1745"/>
        <w:gridCol w:w="63"/>
        <w:gridCol w:w="400"/>
        <w:gridCol w:w="226"/>
        <w:gridCol w:w="2044"/>
        <w:gridCol w:w="60"/>
      </w:tblGrid>
      <w:tr>
        <w:trPr/>
        <w:tc>
          <w:tcPr>
            <w:tcW w:w="1745" w:type="dxa"/>
            <w:tcBorders/>
            <w:vAlign w:val="center"/>
          </w:tcPr>
          <w:p>
            <w:pPr>
              <w:pStyle w:val="TableContents"/>
              <w:bidi w:val="0"/>
              <w:spacing w:before="0" w:after="0"/>
              <w:ind w:left="0" w:right="0" w:hanging="0"/>
              <w:jc w:val="left"/>
              <w:rPr/>
            </w:pPr>
            <w:r>
              <w:rPr/>
              <w:t> </w:t>
            </w:r>
          </w:p>
        </w:tc>
        <w:tc>
          <w:tcPr>
            <w:tcW w:w="2733" w:type="dxa"/>
            <w:gridSpan w:val="4"/>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2670" w:type="dxa"/>
            <w:gridSpan w:val="3"/>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3, 2026</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By:</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20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J. Ehrman</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J. Ehrman</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INDEX TO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93" w:type="dxa"/>
        <w:jc w:val="left"/>
        <w:tblInd w:w="0" w:type="dxa"/>
        <w:tblLayout w:type="fixed"/>
        <w:tblCellMar>
          <w:top w:w="0" w:type="dxa"/>
          <w:left w:w="0" w:type="dxa"/>
          <w:bottom w:w="28" w:type="dxa"/>
          <w:right w:w="0" w:type="dxa"/>
        </w:tblCellMar>
      </w:tblPr>
      <w:tblGrid>
        <w:gridCol w:w="161"/>
        <w:gridCol w:w="466"/>
        <w:gridCol w:w="766"/>
      </w:tblGrid>
      <w:tr>
        <w:trPr/>
        <w:tc>
          <w:tcPr>
            <w:tcW w:w="161" w:type="dxa"/>
            <w:tcBorders>
              <w:bottom w:val="single" w:sz="2" w:space="0" w:color="000000"/>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w:t>
            </w:r>
          </w:p>
        </w:tc>
        <w:tc>
          <w:tcPr>
            <w:tcW w:w="766"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r>
          </w:p>
        </w:tc>
      </w:tr>
    </w:tbl>
    <w:p>
      <w:pPr>
        <w:pStyle w:val="TextBody"/>
        <w:bidi w:val="0"/>
        <w:spacing w:before="0" w:after="0"/>
        <w:ind w:left="0" w:right="0" w:hanging="0"/>
        <w:jc w:val="left"/>
        <w:rPr>
          <w:caps w:val="false"/>
          <w:smallCaps w:val="false"/>
        </w:rPr>
      </w:pPr>
      <w:r>
        <w:rPr>
          <w:caps w:val="false"/>
          <w:smallCaps w:val="false"/>
        </w:rPr>
        <w:t> </w:t>
      </w:r>
    </w:p>
    <w:tbl>
      <w:tblPr>
        <w:tblW w:w="3613" w:type="dxa"/>
        <w:jc w:val="left"/>
        <w:tblInd w:w="0" w:type="dxa"/>
        <w:tblLayout w:type="fixed"/>
        <w:tblCellMar>
          <w:top w:w="28" w:type="dxa"/>
          <w:left w:w="28" w:type="dxa"/>
          <w:bottom w:w="28" w:type="dxa"/>
          <w:right w:w="28" w:type="dxa"/>
        </w:tblCellMar>
      </w:tblPr>
      <w:tblGrid>
        <w:gridCol w:w="161"/>
        <w:gridCol w:w="466"/>
        <w:gridCol w:w="2986"/>
      </w:tblGrid>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29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dated August 3, 2026.</w:t>
            </w:r>
          </w:p>
        </w:tc>
      </w:tr>
    </w:tbl>
    <w:p>
      <w:pPr>
        <w:pStyle w:val="TextBody"/>
        <w:bidi w:val="0"/>
        <w:ind w:left="0" w:right="0" w:hanging="0"/>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97582.htm"/>
      <w:bookmarkStart w:id="3" w:name="ksex_99758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720"/>
        <w:gridCol w:w="3770"/>
      </w:tblGrid>
      <w:tr>
        <w:trPr/>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NEWS RELEASE</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325"/>
        <w:gridCol w:w="1490"/>
        <w:gridCol w:w="3125"/>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Release Date:</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August 3, 2026</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3838 Oak Lawn Ave., Suite 300</w:t>
            </w:r>
          </w:p>
        </w:tc>
      </w:tr>
      <w:tr>
        <w:trPr/>
        <w:tc>
          <w:tcPr>
            <w:tcW w:w="1325"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Dallas, Texas 75219-4541</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Contact:</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Martye Miller</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(214) 559-0300</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Dorchester Minerals, L.P. Announces Acquisition of Mineral and Royalty Interests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(the “Partnership”) (NASDAQ-DMLP) announces today the closing of the previously announced acquisition of mineral and royalty interests totaling approximately 3,100 net royalty acres located in five counties across the Williston Basin in North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transaction was structured as a non-taxable contribution and exchange. The contributing entities conveyed their interests to the Partnership in exchange for 835,958 common units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Dorchester Minerals, L.P. is a Dallas based owner of producing and non-producing oil and natural gas mineral, royalty, overriding royalty, and net profits interests located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864</Words>
  <Characters>4925</Characters>
  <CharactersWithSpaces>5854</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